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CCCB" w14:textId="77777777" w:rsidR="00037D1B" w:rsidRPr="00DA60CC" w:rsidRDefault="00037D1B" w:rsidP="00037D1B">
      <w:pPr>
        <w:jc w:val="left"/>
        <w:rPr>
          <w:rFonts w:asciiTheme="majorEastAsia" w:eastAsiaTheme="majorEastAsia" w:hAnsiTheme="majorEastAsia"/>
          <w:b/>
          <w:sz w:val="24"/>
        </w:rPr>
      </w:pPr>
      <w:r w:rsidRPr="00DA60CC">
        <w:rPr>
          <w:rFonts w:asciiTheme="majorEastAsia" w:eastAsiaTheme="majorEastAsia" w:hAnsiTheme="majorEastAsia" w:hint="eastAsia"/>
          <w:b/>
          <w:sz w:val="24"/>
          <w:bdr w:val="single" w:sz="4" w:space="0" w:color="auto"/>
        </w:rPr>
        <w:t>ひな型</w:t>
      </w:r>
      <w:r w:rsidRPr="00DA60CC">
        <w:rPr>
          <w:rFonts w:asciiTheme="majorEastAsia" w:eastAsiaTheme="majorEastAsia" w:hAnsiTheme="majorEastAsia" w:hint="eastAsia"/>
          <w:b/>
          <w:sz w:val="24"/>
        </w:rPr>
        <w:t xml:space="preserve">　（書面により</w:t>
      </w:r>
      <w:r>
        <w:rPr>
          <w:rFonts w:asciiTheme="majorEastAsia" w:eastAsiaTheme="majorEastAsia" w:hAnsiTheme="majorEastAsia" w:hint="eastAsia"/>
          <w:b/>
          <w:sz w:val="24"/>
        </w:rPr>
        <w:t>約諾書を差し替える</w:t>
      </w:r>
      <w:r w:rsidRPr="00DA60CC">
        <w:rPr>
          <w:rFonts w:asciiTheme="majorEastAsia" w:eastAsiaTheme="majorEastAsia" w:hAnsiTheme="majorEastAsia" w:hint="eastAsia"/>
          <w:b/>
          <w:sz w:val="24"/>
        </w:rPr>
        <w:t>場合</w:t>
      </w:r>
      <w:r w:rsidR="00DA3586">
        <w:rPr>
          <w:rFonts w:asciiTheme="majorEastAsia" w:eastAsiaTheme="majorEastAsia" w:hAnsiTheme="majorEastAsia" w:hint="eastAsia"/>
          <w:b/>
          <w:sz w:val="24"/>
        </w:rPr>
        <w:t>の</w:t>
      </w:r>
      <w:r w:rsidR="00457E8E">
        <w:rPr>
          <w:rFonts w:asciiTheme="majorEastAsia" w:eastAsiaTheme="majorEastAsia" w:hAnsiTheme="majorEastAsia" w:hint="eastAsia"/>
          <w:b/>
          <w:sz w:val="24"/>
        </w:rPr>
        <w:t>説明文書</w:t>
      </w:r>
      <w:r w:rsidRPr="00DA60CC">
        <w:rPr>
          <w:rFonts w:asciiTheme="majorEastAsia" w:eastAsiaTheme="majorEastAsia" w:hAnsiTheme="majorEastAsia" w:hint="eastAsia"/>
          <w:b/>
          <w:sz w:val="24"/>
        </w:rPr>
        <w:t>）</w:t>
      </w:r>
    </w:p>
    <w:p w14:paraId="6AED2E42" w14:textId="77777777" w:rsidR="00037D1B" w:rsidRPr="00DA60CC" w:rsidRDefault="00037D1B" w:rsidP="00037D1B">
      <w:pPr>
        <w:jc w:val="right"/>
        <w:rPr>
          <w:sz w:val="24"/>
        </w:rPr>
      </w:pPr>
    </w:p>
    <w:p w14:paraId="281481C2" w14:textId="77777777" w:rsidR="00037D1B" w:rsidRPr="00DA60CC" w:rsidRDefault="007E4BB3" w:rsidP="00037D1B">
      <w:pPr>
        <w:jc w:val="right"/>
        <w:rPr>
          <w:sz w:val="24"/>
        </w:rPr>
      </w:pPr>
      <w:r>
        <w:rPr>
          <w:rFonts w:hint="eastAsia"/>
          <w:sz w:val="24"/>
        </w:rPr>
        <w:t>令和</w:t>
      </w:r>
      <w:r w:rsidR="00457E8E">
        <w:rPr>
          <w:rFonts w:hint="eastAsia"/>
          <w:sz w:val="24"/>
        </w:rPr>
        <w:t xml:space="preserve">　</w:t>
      </w:r>
      <w:r w:rsidR="00037D1B" w:rsidRPr="00DA60CC">
        <w:rPr>
          <w:rFonts w:hint="eastAsia"/>
          <w:sz w:val="24"/>
        </w:rPr>
        <w:t>年　月　日</w:t>
      </w:r>
    </w:p>
    <w:p w14:paraId="35C2A98C" w14:textId="77777777" w:rsidR="00037D1B" w:rsidRPr="00DA60CC" w:rsidRDefault="00037D1B" w:rsidP="00037D1B">
      <w:pPr>
        <w:rPr>
          <w:sz w:val="24"/>
        </w:rPr>
      </w:pPr>
    </w:p>
    <w:p w14:paraId="07EF30EF" w14:textId="77777777" w:rsidR="00037D1B" w:rsidRPr="00DA60CC" w:rsidRDefault="00037D1B" w:rsidP="00037D1B">
      <w:pPr>
        <w:rPr>
          <w:sz w:val="24"/>
        </w:rPr>
      </w:pPr>
      <w:r w:rsidRPr="00DA60CC">
        <w:rPr>
          <w:rFonts w:hint="eastAsia"/>
          <w:sz w:val="24"/>
        </w:rPr>
        <w:t>お客様各位</w:t>
      </w:r>
    </w:p>
    <w:p w14:paraId="7E3508D4" w14:textId="77777777" w:rsidR="00037D1B" w:rsidRPr="00DA60CC" w:rsidRDefault="00037D1B" w:rsidP="00037D1B">
      <w:pPr>
        <w:rPr>
          <w:sz w:val="24"/>
        </w:rPr>
      </w:pPr>
    </w:p>
    <w:p w14:paraId="53A09C35" w14:textId="77777777" w:rsidR="00037D1B" w:rsidRPr="00DA60CC" w:rsidRDefault="00037D1B" w:rsidP="00037D1B">
      <w:pPr>
        <w:jc w:val="right"/>
        <w:rPr>
          <w:sz w:val="24"/>
          <w:lang w:eastAsia="zh-CN"/>
        </w:rPr>
      </w:pPr>
      <w:r w:rsidRPr="00DA60CC">
        <w:rPr>
          <w:rFonts w:hint="eastAsia"/>
          <w:sz w:val="24"/>
          <w:lang w:eastAsia="zh-CN"/>
        </w:rPr>
        <w:t>＿＿＿＿＿＿＿＿＿会社</w:t>
      </w:r>
    </w:p>
    <w:p w14:paraId="53958C5F" w14:textId="77777777" w:rsidR="00037D1B" w:rsidRDefault="00037D1B" w:rsidP="00037D1B">
      <w:pPr>
        <w:rPr>
          <w:sz w:val="24"/>
          <w:lang w:eastAsia="zh-CN"/>
        </w:rPr>
      </w:pPr>
    </w:p>
    <w:p w14:paraId="2B3700AA" w14:textId="77777777" w:rsidR="00037D1B" w:rsidRPr="00DA60CC" w:rsidRDefault="00037D1B" w:rsidP="00037D1B">
      <w:pPr>
        <w:rPr>
          <w:sz w:val="24"/>
          <w:lang w:eastAsia="zh-CN"/>
        </w:rPr>
      </w:pPr>
    </w:p>
    <w:p w14:paraId="78213FAA" w14:textId="77777777" w:rsidR="00037D1B" w:rsidRPr="00DA60CC" w:rsidRDefault="00037D1B" w:rsidP="00037D1B">
      <w:pPr>
        <w:jc w:val="center"/>
        <w:rPr>
          <w:sz w:val="24"/>
        </w:rPr>
      </w:pPr>
      <w:r w:rsidRPr="00DA60CC">
        <w:rPr>
          <w:rFonts w:hint="eastAsia"/>
          <w:sz w:val="24"/>
        </w:rPr>
        <w:t>先物・オプション取引口座設定約諾書の一部改正について</w:t>
      </w:r>
    </w:p>
    <w:p w14:paraId="2E9448A8" w14:textId="77777777" w:rsidR="00037D1B" w:rsidRPr="00DA60CC" w:rsidRDefault="00037D1B" w:rsidP="00037D1B">
      <w:pPr>
        <w:rPr>
          <w:sz w:val="24"/>
        </w:rPr>
      </w:pPr>
    </w:p>
    <w:p w14:paraId="09B41E17" w14:textId="77777777" w:rsidR="00037D1B" w:rsidRPr="00DA60CC" w:rsidRDefault="00037D1B" w:rsidP="00037D1B">
      <w:pPr>
        <w:ind w:firstLineChars="100" w:firstLine="240"/>
        <w:rPr>
          <w:sz w:val="24"/>
        </w:rPr>
      </w:pPr>
      <w:r w:rsidRPr="00DA60CC">
        <w:rPr>
          <w:rFonts w:hint="eastAsia"/>
          <w:sz w:val="24"/>
        </w:rPr>
        <w:t>この度、株式会社大阪取引所において、下記のとおり、先物・オプション取引口座設定約諾書（以下「約諾書」という。）の一部改正が行われることとなります。</w:t>
      </w:r>
    </w:p>
    <w:p w14:paraId="5DF30FA7" w14:textId="77777777" w:rsidR="00037D1B" w:rsidRPr="00DA60CC" w:rsidRDefault="00037D1B" w:rsidP="00037D1B">
      <w:pPr>
        <w:ind w:firstLineChars="100" w:firstLine="240"/>
        <w:rPr>
          <w:sz w:val="24"/>
        </w:rPr>
      </w:pPr>
      <w:r w:rsidRPr="00DA60CC">
        <w:rPr>
          <w:rFonts w:hint="eastAsia"/>
          <w:sz w:val="24"/>
        </w:rPr>
        <w:t>つきましては、お客様におかれましては、かかる約諾書の改正内容にご同意くださいます場合には、</w:t>
      </w:r>
      <w:r>
        <w:rPr>
          <w:rFonts w:hint="eastAsia"/>
          <w:sz w:val="24"/>
        </w:rPr>
        <w:t>改正後の約諾書</w:t>
      </w:r>
      <w:r w:rsidRPr="00DA60CC">
        <w:rPr>
          <w:rFonts w:hint="eastAsia"/>
          <w:sz w:val="24"/>
        </w:rPr>
        <w:t>に署名又は記名押印のうえ、【</w:t>
      </w:r>
      <w:r w:rsidRPr="00DA60CC">
        <w:rPr>
          <w:rFonts w:hint="eastAsia"/>
          <w:sz w:val="24"/>
        </w:rPr>
        <w:t xml:space="preserve"> </w:t>
      </w:r>
      <w:r w:rsidRPr="00DA60CC">
        <w:rPr>
          <w:rFonts w:hint="eastAsia"/>
          <w:sz w:val="24"/>
        </w:rPr>
        <w:t>当社担当部署</w:t>
      </w:r>
      <w:r w:rsidRPr="00DA60CC">
        <w:rPr>
          <w:rFonts w:hint="eastAsia"/>
          <w:sz w:val="24"/>
        </w:rPr>
        <w:t xml:space="preserve"> </w:t>
      </w:r>
      <w:r w:rsidRPr="00DA60CC">
        <w:rPr>
          <w:rFonts w:hint="eastAsia"/>
          <w:sz w:val="24"/>
        </w:rPr>
        <w:t>】までご提出くださいますようお願い申し上げます。</w:t>
      </w:r>
    </w:p>
    <w:p w14:paraId="50AC5574" w14:textId="77777777" w:rsidR="00037D1B" w:rsidRPr="00DA60CC" w:rsidRDefault="00037D1B" w:rsidP="00037D1B">
      <w:pPr>
        <w:rPr>
          <w:sz w:val="24"/>
        </w:rPr>
      </w:pPr>
    </w:p>
    <w:p w14:paraId="7E573088" w14:textId="77777777" w:rsidR="00037D1B" w:rsidRPr="00DA60CC" w:rsidRDefault="00037D1B" w:rsidP="00037D1B">
      <w:pPr>
        <w:rPr>
          <w:sz w:val="24"/>
        </w:rPr>
      </w:pPr>
    </w:p>
    <w:p w14:paraId="71EDD919" w14:textId="77777777" w:rsidR="00037D1B" w:rsidRPr="00DA60CC" w:rsidRDefault="00037D1B" w:rsidP="00037D1B">
      <w:pPr>
        <w:jc w:val="center"/>
        <w:rPr>
          <w:sz w:val="24"/>
        </w:rPr>
      </w:pPr>
      <w:r w:rsidRPr="00DA60CC">
        <w:rPr>
          <w:rFonts w:hint="eastAsia"/>
          <w:sz w:val="24"/>
        </w:rPr>
        <w:t>記</w:t>
      </w:r>
    </w:p>
    <w:p w14:paraId="4CAE927C" w14:textId="77777777" w:rsidR="00037D1B" w:rsidRPr="00DA60CC" w:rsidRDefault="00037D1B" w:rsidP="00037D1B">
      <w:pPr>
        <w:rPr>
          <w:sz w:val="24"/>
        </w:rPr>
      </w:pPr>
    </w:p>
    <w:p w14:paraId="00CB94B4" w14:textId="77777777" w:rsidR="00311ADA" w:rsidRPr="00DA60CC" w:rsidRDefault="00311ADA" w:rsidP="00311ADA">
      <w:pPr>
        <w:rPr>
          <w:sz w:val="24"/>
        </w:rPr>
      </w:pPr>
      <w:r w:rsidRPr="00DA60CC">
        <w:rPr>
          <w:rFonts w:hint="eastAsia"/>
          <w:sz w:val="24"/>
        </w:rPr>
        <w:t>１．概要</w:t>
      </w:r>
    </w:p>
    <w:p w14:paraId="1D14748A" w14:textId="77777777" w:rsidR="00311ADA" w:rsidRPr="00DA60CC" w:rsidRDefault="00311ADA" w:rsidP="00311ADA">
      <w:pPr>
        <w:ind w:firstLineChars="100" w:firstLine="240"/>
        <w:rPr>
          <w:sz w:val="24"/>
        </w:rPr>
      </w:pPr>
      <w:r w:rsidRPr="00BA3A53">
        <w:rPr>
          <w:rFonts w:hint="eastAsia"/>
          <w:sz w:val="24"/>
        </w:rPr>
        <w:t>株式会社日本証券クリアリング機構におけるクロスマージン制度の対象取引拡大</w:t>
      </w:r>
      <w:r w:rsidRPr="00DA60CC">
        <w:rPr>
          <w:rFonts w:hint="eastAsia"/>
          <w:sz w:val="24"/>
        </w:rPr>
        <w:t>に</w:t>
      </w:r>
      <w:r>
        <w:rPr>
          <w:rFonts w:hint="eastAsia"/>
          <w:sz w:val="24"/>
        </w:rPr>
        <w:t>伴い、所要の改正を行うものです</w:t>
      </w:r>
      <w:r w:rsidRPr="00DA60CC">
        <w:rPr>
          <w:rFonts w:hint="eastAsia"/>
          <w:sz w:val="24"/>
        </w:rPr>
        <w:t>。</w:t>
      </w:r>
    </w:p>
    <w:p w14:paraId="34C79FFC" w14:textId="77777777" w:rsidR="00311ADA" w:rsidRPr="00DA60CC" w:rsidRDefault="00311ADA" w:rsidP="00311ADA">
      <w:pPr>
        <w:rPr>
          <w:sz w:val="24"/>
        </w:rPr>
      </w:pPr>
    </w:p>
    <w:p w14:paraId="69516152" w14:textId="77777777" w:rsidR="00311ADA" w:rsidRPr="00DA60CC" w:rsidRDefault="00311ADA" w:rsidP="00311ADA">
      <w:pPr>
        <w:rPr>
          <w:sz w:val="24"/>
        </w:rPr>
      </w:pPr>
      <w:r w:rsidRPr="00DA60CC">
        <w:rPr>
          <w:rFonts w:hint="eastAsia"/>
          <w:sz w:val="24"/>
        </w:rPr>
        <w:t>２．施行日</w:t>
      </w:r>
    </w:p>
    <w:p w14:paraId="720F7604" w14:textId="77777777" w:rsidR="00311ADA" w:rsidRPr="00DA60CC" w:rsidRDefault="00311ADA" w:rsidP="00311ADA">
      <w:pPr>
        <w:ind w:firstLineChars="100" w:firstLine="240"/>
        <w:rPr>
          <w:sz w:val="24"/>
        </w:rPr>
      </w:pPr>
      <w:r>
        <w:rPr>
          <w:rFonts w:hint="eastAsia"/>
          <w:sz w:val="24"/>
        </w:rPr>
        <w:t>令和６年３</w:t>
      </w:r>
      <w:r w:rsidRPr="00DA60CC">
        <w:rPr>
          <w:rFonts w:hint="eastAsia"/>
          <w:sz w:val="24"/>
        </w:rPr>
        <w:t>月</w:t>
      </w:r>
      <w:r>
        <w:rPr>
          <w:rFonts w:hint="eastAsia"/>
          <w:sz w:val="24"/>
        </w:rPr>
        <w:t>４</w:t>
      </w:r>
      <w:r w:rsidRPr="00DA60CC">
        <w:rPr>
          <w:rFonts w:hint="eastAsia"/>
          <w:sz w:val="24"/>
        </w:rPr>
        <w:t>日</w:t>
      </w:r>
    </w:p>
    <w:p w14:paraId="75BC1292" w14:textId="77777777" w:rsidR="00037D1B" w:rsidRPr="00DA60CC" w:rsidRDefault="00037D1B" w:rsidP="00037D1B">
      <w:pPr>
        <w:rPr>
          <w:sz w:val="24"/>
        </w:rPr>
      </w:pPr>
    </w:p>
    <w:p w14:paraId="4B216865" w14:textId="77777777" w:rsidR="00037D1B" w:rsidRPr="00DA60CC" w:rsidRDefault="00037D1B" w:rsidP="00037D1B">
      <w:pPr>
        <w:jc w:val="right"/>
        <w:rPr>
          <w:sz w:val="24"/>
        </w:rPr>
      </w:pPr>
      <w:r w:rsidRPr="00DA60CC">
        <w:rPr>
          <w:rFonts w:hint="eastAsia"/>
          <w:sz w:val="24"/>
        </w:rPr>
        <w:t>以　上</w:t>
      </w:r>
    </w:p>
    <w:p w14:paraId="5BAEC02F" w14:textId="77777777" w:rsidR="00037D1B" w:rsidRPr="00DA60CC" w:rsidRDefault="00037D1B" w:rsidP="00037D1B">
      <w:pPr>
        <w:rPr>
          <w:sz w:val="24"/>
        </w:rPr>
      </w:pPr>
    </w:p>
    <w:p w14:paraId="5A0FAE94" w14:textId="77777777" w:rsidR="00037D1B" w:rsidRDefault="00037D1B" w:rsidP="00037D1B">
      <w:pPr>
        <w:widowControl/>
        <w:jc w:val="left"/>
      </w:pPr>
      <w:r>
        <w:br w:type="page"/>
      </w:r>
    </w:p>
    <w:p w14:paraId="26A94600" w14:textId="77777777" w:rsidR="00DA3586" w:rsidRPr="00DA60CC" w:rsidRDefault="00DA3586" w:rsidP="00DA3586">
      <w:pPr>
        <w:jc w:val="left"/>
        <w:rPr>
          <w:rFonts w:asciiTheme="majorEastAsia" w:eastAsiaTheme="majorEastAsia" w:hAnsiTheme="majorEastAsia"/>
          <w:b/>
          <w:sz w:val="24"/>
        </w:rPr>
      </w:pPr>
      <w:r w:rsidRPr="00DA60CC">
        <w:rPr>
          <w:rFonts w:asciiTheme="majorEastAsia" w:eastAsiaTheme="majorEastAsia" w:hAnsiTheme="majorEastAsia" w:hint="eastAsia"/>
          <w:b/>
          <w:sz w:val="24"/>
          <w:bdr w:val="single" w:sz="4" w:space="0" w:color="auto"/>
        </w:rPr>
        <w:lastRenderedPageBreak/>
        <w:t>ひな型</w:t>
      </w:r>
      <w:r w:rsidRPr="00DA60CC">
        <w:rPr>
          <w:rFonts w:asciiTheme="majorEastAsia" w:eastAsiaTheme="majorEastAsia" w:hAnsiTheme="majorEastAsia" w:hint="eastAsia"/>
          <w:b/>
          <w:sz w:val="24"/>
        </w:rPr>
        <w:t xml:space="preserve">　（書面により了承文書</w:t>
      </w:r>
      <w:r>
        <w:rPr>
          <w:rFonts w:asciiTheme="majorEastAsia" w:eastAsiaTheme="majorEastAsia" w:hAnsiTheme="majorEastAsia" w:hint="eastAsia"/>
          <w:b/>
          <w:sz w:val="24"/>
        </w:rPr>
        <w:t>の差入れを受ける</w:t>
      </w:r>
      <w:r w:rsidRPr="00DA60CC">
        <w:rPr>
          <w:rFonts w:asciiTheme="majorEastAsia" w:eastAsiaTheme="majorEastAsia" w:hAnsiTheme="majorEastAsia" w:hint="eastAsia"/>
          <w:b/>
          <w:sz w:val="24"/>
        </w:rPr>
        <w:t>場合</w:t>
      </w:r>
      <w:r>
        <w:rPr>
          <w:rFonts w:asciiTheme="majorEastAsia" w:eastAsiaTheme="majorEastAsia" w:hAnsiTheme="majorEastAsia" w:hint="eastAsia"/>
          <w:b/>
          <w:sz w:val="24"/>
        </w:rPr>
        <w:t>の</w:t>
      </w:r>
      <w:r w:rsidR="00457E8E">
        <w:rPr>
          <w:rFonts w:asciiTheme="majorEastAsia" w:eastAsiaTheme="majorEastAsia" w:hAnsiTheme="majorEastAsia" w:hint="eastAsia"/>
          <w:b/>
          <w:sz w:val="24"/>
        </w:rPr>
        <w:t>説明文書</w:t>
      </w:r>
      <w:r w:rsidRPr="00DA60CC">
        <w:rPr>
          <w:rFonts w:asciiTheme="majorEastAsia" w:eastAsiaTheme="majorEastAsia" w:hAnsiTheme="majorEastAsia" w:hint="eastAsia"/>
          <w:b/>
          <w:sz w:val="24"/>
        </w:rPr>
        <w:t>）</w:t>
      </w:r>
    </w:p>
    <w:p w14:paraId="46EF267F" w14:textId="77777777" w:rsidR="00DA3586" w:rsidRPr="00DA60CC" w:rsidRDefault="00DA3586" w:rsidP="00DA3586">
      <w:pPr>
        <w:jc w:val="right"/>
        <w:rPr>
          <w:sz w:val="24"/>
        </w:rPr>
      </w:pPr>
    </w:p>
    <w:p w14:paraId="5FA4AE53" w14:textId="77777777" w:rsidR="00DA3586" w:rsidRPr="00DA60CC" w:rsidRDefault="007E4BB3" w:rsidP="00DA3586">
      <w:pPr>
        <w:jc w:val="right"/>
        <w:rPr>
          <w:sz w:val="24"/>
        </w:rPr>
      </w:pPr>
      <w:r>
        <w:rPr>
          <w:rFonts w:hint="eastAsia"/>
          <w:sz w:val="24"/>
        </w:rPr>
        <w:t>令和</w:t>
      </w:r>
      <w:r w:rsidR="00457E8E">
        <w:rPr>
          <w:rFonts w:hint="eastAsia"/>
          <w:sz w:val="24"/>
        </w:rPr>
        <w:t xml:space="preserve">　</w:t>
      </w:r>
      <w:r w:rsidR="00DA3586" w:rsidRPr="00DA60CC">
        <w:rPr>
          <w:rFonts w:hint="eastAsia"/>
          <w:sz w:val="24"/>
        </w:rPr>
        <w:t>年　月　日</w:t>
      </w:r>
    </w:p>
    <w:p w14:paraId="4BC09E56" w14:textId="77777777" w:rsidR="00DA3586" w:rsidRPr="00DA60CC" w:rsidRDefault="00DA3586" w:rsidP="00DA3586">
      <w:pPr>
        <w:rPr>
          <w:sz w:val="24"/>
        </w:rPr>
      </w:pPr>
    </w:p>
    <w:p w14:paraId="37873092" w14:textId="77777777" w:rsidR="00DA3586" w:rsidRPr="00DA60CC" w:rsidRDefault="00DA3586" w:rsidP="00DA3586">
      <w:pPr>
        <w:rPr>
          <w:sz w:val="24"/>
        </w:rPr>
      </w:pPr>
      <w:r w:rsidRPr="00DA60CC">
        <w:rPr>
          <w:rFonts w:hint="eastAsia"/>
          <w:sz w:val="24"/>
        </w:rPr>
        <w:t>お客様各位</w:t>
      </w:r>
    </w:p>
    <w:p w14:paraId="585F1705" w14:textId="77777777" w:rsidR="00DA3586" w:rsidRPr="00DA60CC" w:rsidRDefault="00DA3586" w:rsidP="00DA3586">
      <w:pPr>
        <w:rPr>
          <w:sz w:val="24"/>
        </w:rPr>
      </w:pPr>
    </w:p>
    <w:p w14:paraId="53030DAE" w14:textId="77777777" w:rsidR="00DA3586" w:rsidRPr="00DA60CC" w:rsidRDefault="00DA3586" w:rsidP="00DA3586">
      <w:pPr>
        <w:jc w:val="right"/>
        <w:rPr>
          <w:sz w:val="24"/>
          <w:lang w:eastAsia="zh-CN"/>
        </w:rPr>
      </w:pPr>
      <w:r w:rsidRPr="00DA60CC">
        <w:rPr>
          <w:rFonts w:hint="eastAsia"/>
          <w:sz w:val="24"/>
          <w:lang w:eastAsia="zh-CN"/>
        </w:rPr>
        <w:t>＿＿＿＿＿＿＿＿＿会社</w:t>
      </w:r>
    </w:p>
    <w:p w14:paraId="3730B782" w14:textId="77777777" w:rsidR="00DA3586" w:rsidRDefault="00DA3586" w:rsidP="00DA3586">
      <w:pPr>
        <w:rPr>
          <w:sz w:val="24"/>
          <w:lang w:eastAsia="zh-CN"/>
        </w:rPr>
      </w:pPr>
    </w:p>
    <w:p w14:paraId="62FCD442" w14:textId="77777777" w:rsidR="00DA3586" w:rsidRPr="00DA60CC" w:rsidRDefault="00DA3586" w:rsidP="00DA3586">
      <w:pPr>
        <w:rPr>
          <w:sz w:val="24"/>
          <w:lang w:eastAsia="zh-CN"/>
        </w:rPr>
      </w:pPr>
    </w:p>
    <w:p w14:paraId="1867E69C" w14:textId="77777777" w:rsidR="00DA3586" w:rsidRPr="00DA60CC" w:rsidRDefault="00DA3586" w:rsidP="00DA3586">
      <w:pPr>
        <w:jc w:val="center"/>
        <w:rPr>
          <w:sz w:val="24"/>
        </w:rPr>
      </w:pPr>
      <w:r w:rsidRPr="00DA60CC">
        <w:rPr>
          <w:rFonts w:hint="eastAsia"/>
          <w:sz w:val="24"/>
        </w:rPr>
        <w:t>先物・オプション取引口座設定約諾書の一部改正について</w:t>
      </w:r>
    </w:p>
    <w:p w14:paraId="6506A119" w14:textId="77777777" w:rsidR="00DA3586" w:rsidRPr="00DA60CC" w:rsidRDefault="00DA3586" w:rsidP="00DA3586">
      <w:pPr>
        <w:rPr>
          <w:sz w:val="24"/>
        </w:rPr>
      </w:pPr>
    </w:p>
    <w:p w14:paraId="4A5F1F49" w14:textId="77777777" w:rsidR="00DA3586" w:rsidRPr="00DA60CC" w:rsidRDefault="00DA3586" w:rsidP="00DA3586">
      <w:pPr>
        <w:ind w:firstLineChars="100" w:firstLine="240"/>
        <w:rPr>
          <w:sz w:val="24"/>
        </w:rPr>
      </w:pPr>
      <w:r w:rsidRPr="00DA60CC">
        <w:rPr>
          <w:rFonts w:hint="eastAsia"/>
          <w:sz w:val="24"/>
        </w:rPr>
        <w:t>この度、株式会社大阪取引所において、下記のとおり、先物・オプション取引口座設定約諾書（以下「約諾書」という。）の一部改正が行われることとなります。</w:t>
      </w:r>
    </w:p>
    <w:p w14:paraId="3E40203E" w14:textId="77777777" w:rsidR="00DA3586" w:rsidRPr="00DA60CC" w:rsidRDefault="00DA3586" w:rsidP="00DA3586">
      <w:pPr>
        <w:ind w:firstLineChars="100" w:firstLine="240"/>
        <w:rPr>
          <w:sz w:val="24"/>
        </w:rPr>
      </w:pPr>
      <w:r w:rsidRPr="00DA60CC">
        <w:rPr>
          <w:rFonts w:hint="eastAsia"/>
          <w:sz w:val="24"/>
        </w:rPr>
        <w:t>つきましては、お客様におかれましては、かかる約諾書の改正内容にご同意くださいます場合には、所定の了承文書（印紙の貼付は必要ありません。）に署名又は記名押印のうえ、【</w:t>
      </w:r>
      <w:r w:rsidRPr="00DA60CC">
        <w:rPr>
          <w:rFonts w:hint="eastAsia"/>
          <w:sz w:val="24"/>
        </w:rPr>
        <w:t xml:space="preserve"> </w:t>
      </w:r>
      <w:r w:rsidRPr="00DA60CC">
        <w:rPr>
          <w:rFonts w:hint="eastAsia"/>
          <w:sz w:val="24"/>
        </w:rPr>
        <w:t>当社担当部署</w:t>
      </w:r>
      <w:r w:rsidRPr="00DA60CC">
        <w:rPr>
          <w:rFonts w:hint="eastAsia"/>
          <w:sz w:val="24"/>
        </w:rPr>
        <w:t xml:space="preserve"> </w:t>
      </w:r>
      <w:r w:rsidRPr="00DA60CC">
        <w:rPr>
          <w:rFonts w:hint="eastAsia"/>
          <w:sz w:val="24"/>
        </w:rPr>
        <w:t>】までご提出くださいますようお願い申し上げます。</w:t>
      </w:r>
    </w:p>
    <w:p w14:paraId="3D21B381" w14:textId="77777777" w:rsidR="00DA3586" w:rsidRPr="00DA60CC" w:rsidRDefault="00DA3586" w:rsidP="00DA3586">
      <w:pPr>
        <w:rPr>
          <w:sz w:val="24"/>
        </w:rPr>
      </w:pPr>
    </w:p>
    <w:p w14:paraId="50F0328E" w14:textId="77777777" w:rsidR="00DA3586" w:rsidRPr="00DA60CC" w:rsidRDefault="00DA3586" w:rsidP="00DA3586">
      <w:pPr>
        <w:rPr>
          <w:sz w:val="24"/>
        </w:rPr>
      </w:pPr>
    </w:p>
    <w:p w14:paraId="29D0517F" w14:textId="77777777" w:rsidR="00DA3586" w:rsidRPr="00DA60CC" w:rsidRDefault="00DA3586" w:rsidP="00DA3586">
      <w:pPr>
        <w:jc w:val="center"/>
        <w:rPr>
          <w:sz w:val="24"/>
        </w:rPr>
      </w:pPr>
      <w:r w:rsidRPr="00DA60CC">
        <w:rPr>
          <w:rFonts w:hint="eastAsia"/>
          <w:sz w:val="24"/>
        </w:rPr>
        <w:t>記</w:t>
      </w:r>
    </w:p>
    <w:p w14:paraId="37D33BCC" w14:textId="77777777" w:rsidR="00DA3586" w:rsidRPr="00DA60CC" w:rsidRDefault="00DA3586" w:rsidP="00DA3586">
      <w:pPr>
        <w:rPr>
          <w:sz w:val="24"/>
        </w:rPr>
      </w:pPr>
    </w:p>
    <w:p w14:paraId="3DA9BF9A" w14:textId="77777777" w:rsidR="00DA3586" w:rsidRPr="00DA60CC" w:rsidRDefault="00DA3586" w:rsidP="00DA3586">
      <w:pPr>
        <w:rPr>
          <w:sz w:val="24"/>
        </w:rPr>
      </w:pPr>
      <w:r w:rsidRPr="00DA60CC">
        <w:rPr>
          <w:rFonts w:hint="eastAsia"/>
          <w:sz w:val="24"/>
        </w:rPr>
        <w:t>１．概要</w:t>
      </w:r>
    </w:p>
    <w:p w14:paraId="34283D27" w14:textId="44BB90D2" w:rsidR="00DA3586" w:rsidRPr="00DA60CC" w:rsidRDefault="00BA3A53" w:rsidP="00BA3A53">
      <w:pPr>
        <w:ind w:firstLineChars="100" w:firstLine="240"/>
        <w:rPr>
          <w:sz w:val="24"/>
        </w:rPr>
      </w:pPr>
      <w:r w:rsidRPr="00BA3A53">
        <w:rPr>
          <w:rFonts w:hint="eastAsia"/>
          <w:sz w:val="24"/>
        </w:rPr>
        <w:t>株式会社日本証券クリアリング機構におけるクロスマージン制度の対象取引拡大</w:t>
      </w:r>
      <w:r w:rsidR="00DA3586" w:rsidRPr="00DA60CC">
        <w:rPr>
          <w:rFonts w:hint="eastAsia"/>
          <w:sz w:val="24"/>
        </w:rPr>
        <w:t>に</w:t>
      </w:r>
      <w:r w:rsidR="000F25B4">
        <w:rPr>
          <w:rFonts w:hint="eastAsia"/>
          <w:sz w:val="24"/>
        </w:rPr>
        <w:t>伴い</w:t>
      </w:r>
      <w:r w:rsidR="00DA3586">
        <w:rPr>
          <w:rFonts w:hint="eastAsia"/>
          <w:sz w:val="24"/>
        </w:rPr>
        <w:t>、所要の改正を行うものです</w:t>
      </w:r>
      <w:r w:rsidR="00DA3586" w:rsidRPr="00DA60CC">
        <w:rPr>
          <w:rFonts w:hint="eastAsia"/>
          <w:sz w:val="24"/>
        </w:rPr>
        <w:t>。</w:t>
      </w:r>
    </w:p>
    <w:p w14:paraId="06BEE294" w14:textId="77777777" w:rsidR="00DA3586" w:rsidRPr="00DA60CC" w:rsidRDefault="00DA3586" w:rsidP="00DA3586">
      <w:pPr>
        <w:rPr>
          <w:sz w:val="24"/>
        </w:rPr>
      </w:pPr>
    </w:p>
    <w:p w14:paraId="64070056" w14:textId="77777777" w:rsidR="00DA3586" w:rsidRPr="00DA60CC" w:rsidRDefault="00DA3586" w:rsidP="00DA3586">
      <w:pPr>
        <w:rPr>
          <w:sz w:val="24"/>
        </w:rPr>
      </w:pPr>
      <w:r w:rsidRPr="00DA60CC">
        <w:rPr>
          <w:rFonts w:hint="eastAsia"/>
          <w:sz w:val="24"/>
        </w:rPr>
        <w:t>２．施行日</w:t>
      </w:r>
    </w:p>
    <w:p w14:paraId="7BA4C266" w14:textId="068C58D6" w:rsidR="00DA3586" w:rsidRPr="00DA60CC" w:rsidRDefault="007E4BB3" w:rsidP="00DA3586">
      <w:pPr>
        <w:ind w:firstLineChars="100" w:firstLine="240"/>
        <w:rPr>
          <w:sz w:val="24"/>
        </w:rPr>
      </w:pPr>
      <w:r>
        <w:rPr>
          <w:rFonts w:hint="eastAsia"/>
          <w:sz w:val="24"/>
        </w:rPr>
        <w:t>令和</w:t>
      </w:r>
      <w:r w:rsidR="00BA3A53">
        <w:rPr>
          <w:rFonts w:hint="eastAsia"/>
          <w:sz w:val="24"/>
        </w:rPr>
        <w:t>６</w:t>
      </w:r>
      <w:r w:rsidR="00457E8E">
        <w:rPr>
          <w:rFonts w:hint="eastAsia"/>
          <w:sz w:val="24"/>
        </w:rPr>
        <w:t>年</w:t>
      </w:r>
      <w:r w:rsidR="00BA3A53">
        <w:rPr>
          <w:rFonts w:hint="eastAsia"/>
          <w:sz w:val="24"/>
        </w:rPr>
        <w:t>３</w:t>
      </w:r>
      <w:r w:rsidR="00DA3586" w:rsidRPr="00DA60CC">
        <w:rPr>
          <w:rFonts w:hint="eastAsia"/>
          <w:sz w:val="24"/>
        </w:rPr>
        <w:t>月</w:t>
      </w:r>
      <w:r w:rsidR="00BA3A53">
        <w:rPr>
          <w:rFonts w:hint="eastAsia"/>
          <w:sz w:val="24"/>
        </w:rPr>
        <w:t>４</w:t>
      </w:r>
      <w:r w:rsidR="00DA3586" w:rsidRPr="00DA60CC">
        <w:rPr>
          <w:rFonts w:hint="eastAsia"/>
          <w:sz w:val="24"/>
        </w:rPr>
        <w:t>日</w:t>
      </w:r>
    </w:p>
    <w:p w14:paraId="7AC2B71E" w14:textId="77777777" w:rsidR="00DA3586" w:rsidRPr="00DA60CC" w:rsidRDefault="00DA3586" w:rsidP="00DA3586">
      <w:pPr>
        <w:rPr>
          <w:sz w:val="24"/>
        </w:rPr>
      </w:pPr>
    </w:p>
    <w:p w14:paraId="1AF7E1AD" w14:textId="77777777" w:rsidR="00DA3586" w:rsidRPr="00DA60CC" w:rsidRDefault="00DA3586" w:rsidP="00DA3586">
      <w:pPr>
        <w:jc w:val="right"/>
        <w:rPr>
          <w:sz w:val="24"/>
        </w:rPr>
      </w:pPr>
      <w:r w:rsidRPr="00DA60CC">
        <w:rPr>
          <w:rFonts w:hint="eastAsia"/>
          <w:sz w:val="24"/>
        </w:rPr>
        <w:t>以　上</w:t>
      </w:r>
    </w:p>
    <w:p w14:paraId="3299735A" w14:textId="77777777" w:rsidR="00DA3586" w:rsidRPr="00DA60CC" w:rsidRDefault="00DA3586" w:rsidP="00DA3586">
      <w:pPr>
        <w:rPr>
          <w:sz w:val="24"/>
        </w:rPr>
      </w:pPr>
    </w:p>
    <w:p w14:paraId="43EB24CD" w14:textId="77777777" w:rsidR="00DA3586" w:rsidRDefault="00DA3586" w:rsidP="00DA3586">
      <w:pPr>
        <w:widowControl/>
        <w:jc w:val="left"/>
      </w:pPr>
      <w:r>
        <w:br w:type="page"/>
      </w:r>
    </w:p>
    <w:p w14:paraId="2EEFB5E6" w14:textId="77777777" w:rsidR="00037D1B" w:rsidRPr="00DA60CC" w:rsidRDefault="00037D1B" w:rsidP="00037D1B">
      <w:pPr>
        <w:jc w:val="left"/>
        <w:rPr>
          <w:rFonts w:asciiTheme="majorEastAsia" w:eastAsiaTheme="majorEastAsia" w:hAnsiTheme="majorEastAsia"/>
          <w:b/>
          <w:sz w:val="24"/>
        </w:rPr>
      </w:pPr>
      <w:r w:rsidRPr="00DA60CC">
        <w:rPr>
          <w:rFonts w:asciiTheme="majorEastAsia" w:eastAsiaTheme="majorEastAsia" w:hAnsiTheme="majorEastAsia" w:hint="eastAsia"/>
          <w:b/>
          <w:sz w:val="24"/>
          <w:bdr w:val="single" w:sz="4" w:space="0" w:color="auto"/>
        </w:rPr>
        <w:lastRenderedPageBreak/>
        <w:t>ひな型</w:t>
      </w:r>
      <w:r w:rsidRPr="00DA60CC">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電磁的方法</w:t>
      </w:r>
      <w:r w:rsidRPr="00DA60CC">
        <w:rPr>
          <w:rFonts w:asciiTheme="majorEastAsia" w:eastAsiaTheme="majorEastAsia" w:hAnsiTheme="majorEastAsia" w:hint="eastAsia"/>
          <w:b/>
          <w:sz w:val="24"/>
        </w:rPr>
        <w:t>により</w:t>
      </w:r>
      <w:r>
        <w:rPr>
          <w:rFonts w:asciiTheme="majorEastAsia" w:eastAsiaTheme="majorEastAsia" w:hAnsiTheme="majorEastAsia" w:hint="eastAsia"/>
          <w:b/>
          <w:sz w:val="24"/>
        </w:rPr>
        <w:t>約諾書を差し替える</w:t>
      </w:r>
      <w:r w:rsidRPr="00DA60CC">
        <w:rPr>
          <w:rFonts w:asciiTheme="majorEastAsia" w:eastAsiaTheme="majorEastAsia" w:hAnsiTheme="majorEastAsia" w:hint="eastAsia"/>
          <w:b/>
          <w:sz w:val="24"/>
        </w:rPr>
        <w:t>場合</w:t>
      </w:r>
      <w:r w:rsidR="00DA3586">
        <w:rPr>
          <w:rFonts w:asciiTheme="majorEastAsia" w:eastAsiaTheme="majorEastAsia" w:hAnsiTheme="majorEastAsia" w:hint="eastAsia"/>
          <w:b/>
          <w:sz w:val="24"/>
        </w:rPr>
        <w:t>の</w:t>
      </w:r>
      <w:r w:rsidR="00457E8E">
        <w:rPr>
          <w:rFonts w:asciiTheme="majorEastAsia" w:eastAsiaTheme="majorEastAsia" w:hAnsiTheme="majorEastAsia" w:hint="eastAsia"/>
          <w:b/>
          <w:sz w:val="24"/>
        </w:rPr>
        <w:t>説明文書</w:t>
      </w:r>
      <w:r w:rsidRPr="00DA60CC">
        <w:rPr>
          <w:rFonts w:asciiTheme="majorEastAsia" w:eastAsiaTheme="majorEastAsia" w:hAnsiTheme="majorEastAsia" w:hint="eastAsia"/>
          <w:b/>
          <w:sz w:val="24"/>
        </w:rPr>
        <w:t>）</w:t>
      </w:r>
    </w:p>
    <w:p w14:paraId="3D2201D6" w14:textId="77777777" w:rsidR="00037D1B" w:rsidRPr="00DA60CC" w:rsidRDefault="00037D1B" w:rsidP="00037D1B">
      <w:pPr>
        <w:jc w:val="right"/>
        <w:rPr>
          <w:sz w:val="24"/>
        </w:rPr>
      </w:pPr>
    </w:p>
    <w:p w14:paraId="5CAD3AF1" w14:textId="77777777" w:rsidR="00037D1B" w:rsidRPr="00DA60CC" w:rsidRDefault="007E4BB3" w:rsidP="00037D1B">
      <w:pPr>
        <w:jc w:val="right"/>
        <w:rPr>
          <w:sz w:val="24"/>
        </w:rPr>
      </w:pPr>
      <w:r>
        <w:rPr>
          <w:rFonts w:hint="eastAsia"/>
          <w:sz w:val="24"/>
        </w:rPr>
        <w:t>令和</w:t>
      </w:r>
      <w:r w:rsidR="00457E8E">
        <w:rPr>
          <w:rFonts w:hint="eastAsia"/>
          <w:sz w:val="24"/>
        </w:rPr>
        <w:t xml:space="preserve">　</w:t>
      </w:r>
      <w:r w:rsidR="00037D1B" w:rsidRPr="00DA60CC">
        <w:rPr>
          <w:rFonts w:hint="eastAsia"/>
          <w:sz w:val="24"/>
        </w:rPr>
        <w:t>年　月　日</w:t>
      </w:r>
    </w:p>
    <w:p w14:paraId="7CBB2556" w14:textId="77777777" w:rsidR="00037D1B" w:rsidRPr="00DA60CC" w:rsidRDefault="00037D1B" w:rsidP="00037D1B">
      <w:pPr>
        <w:rPr>
          <w:sz w:val="24"/>
        </w:rPr>
      </w:pPr>
    </w:p>
    <w:p w14:paraId="329442C3" w14:textId="77777777" w:rsidR="00037D1B" w:rsidRPr="00DA60CC" w:rsidRDefault="00037D1B" w:rsidP="00037D1B">
      <w:pPr>
        <w:rPr>
          <w:sz w:val="24"/>
        </w:rPr>
      </w:pPr>
      <w:r w:rsidRPr="00DA60CC">
        <w:rPr>
          <w:rFonts w:hint="eastAsia"/>
          <w:sz w:val="24"/>
        </w:rPr>
        <w:t>お客様各位</w:t>
      </w:r>
    </w:p>
    <w:p w14:paraId="7CD209AE" w14:textId="77777777" w:rsidR="00037D1B" w:rsidRPr="00DA60CC" w:rsidRDefault="00037D1B" w:rsidP="00037D1B">
      <w:pPr>
        <w:rPr>
          <w:sz w:val="24"/>
        </w:rPr>
      </w:pPr>
    </w:p>
    <w:p w14:paraId="20CA460F" w14:textId="77777777" w:rsidR="00037D1B" w:rsidRPr="00DA60CC" w:rsidRDefault="00037D1B" w:rsidP="00037D1B">
      <w:pPr>
        <w:jc w:val="right"/>
        <w:rPr>
          <w:sz w:val="24"/>
          <w:lang w:eastAsia="zh-CN"/>
        </w:rPr>
      </w:pPr>
      <w:r w:rsidRPr="00DA60CC">
        <w:rPr>
          <w:rFonts w:hint="eastAsia"/>
          <w:sz w:val="24"/>
          <w:lang w:eastAsia="zh-CN"/>
        </w:rPr>
        <w:t>＿＿＿＿＿＿＿＿＿会社</w:t>
      </w:r>
    </w:p>
    <w:p w14:paraId="0AEE6C05" w14:textId="77777777" w:rsidR="00037D1B" w:rsidRDefault="00037D1B" w:rsidP="00037D1B">
      <w:pPr>
        <w:rPr>
          <w:sz w:val="24"/>
          <w:lang w:eastAsia="zh-CN"/>
        </w:rPr>
      </w:pPr>
    </w:p>
    <w:p w14:paraId="77B2A2A0" w14:textId="77777777" w:rsidR="00037D1B" w:rsidRPr="00DA60CC" w:rsidRDefault="00037D1B" w:rsidP="00037D1B">
      <w:pPr>
        <w:rPr>
          <w:sz w:val="24"/>
          <w:lang w:eastAsia="zh-CN"/>
        </w:rPr>
      </w:pPr>
    </w:p>
    <w:p w14:paraId="1B15D7C7" w14:textId="77777777" w:rsidR="00037D1B" w:rsidRPr="00DA60CC" w:rsidRDefault="00037D1B" w:rsidP="00037D1B">
      <w:pPr>
        <w:jc w:val="center"/>
        <w:rPr>
          <w:sz w:val="24"/>
        </w:rPr>
      </w:pPr>
      <w:r w:rsidRPr="00DA60CC">
        <w:rPr>
          <w:rFonts w:hint="eastAsia"/>
          <w:sz w:val="24"/>
        </w:rPr>
        <w:t>先物・オプション取引口座設定約諾書の一部改正について</w:t>
      </w:r>
    </w:p>
    <w:p w14:paraId="3003A651" w14:textId="77777777" w:rsidR="00037D1B" w:rsidRPr="00DA60CC" w:rsidRDefault="00037D1B" w:rsidP="00037D1B">
      <w:pPr>
        <w:rPr>
          <w:sz w:val="24"/>
        </w:rPr>
      </w:pPr>
    </w:p>
    <w:p w14:paraId="17102DAC" w14:textId="77777777" w:rsidR="00037D1B" w:rsidRPr="00DA60CC" w:rsidRDefault="00037D1B" w:rsidP="00037D1B">
      <w:pPr>
        <w:ind w:firstLineChars="100" w:firstLine="240"/>
        <w:rPr>
          <w:sz w:val="24"/>
        </w:rPr>
      </w:pPr>
      <w:r w:rsidRPr="00DA60CC">
        <w:rPr>
          <w:rFonts w:hint="eastAsia"/>
          <w:sz w:val="24"/>
        </w:rPr>
        <w:t>この度、株式会社大阪取引所において、下記のとおり、先物・オプション取引口座設定約諾書（以下「約諾書」という。）の一部改正が行われることとなります。</w:t>
      </w:r>
    </w:p>
    <w:p w14:paraId="62B4D475" w14:textId="77777777" w:rsidR="00037D1B" w:rsidRPr="00DA60CC" w:rsidRDefault="00037D1B" w:rsidP="00037D1B">
      <w:pPr>
        <w:ind w:firstLineChars="100" w:firstLine="240"/>
        <w:rPr>
          <w:sz w:val="24"/>
        </w:rPr>
      </w:pPr>
      <w:r w:rsidRPr="00DA60CC">
        <w:rPr>
          <w:rFonts w:hint="eastAsia"/>
          <w:sz w:val="24"/>
        </w:rPr>
        <w:t>つきましては、お客様におかれましては、かかる約諾書の改正内容にご同意くださいます場合には、【</w:t>
      </w:r>
      <w:r w:rsidRPr="00DA60CC">
        <w:rPr>
          <w:rFonts w:hint="eastAsia"/>
          <w:sz w:val="24"/>
        </w:rPr>
        <w:t xml:space="preserve"> </w:t>
      </w:r>
      <w:r w:rsidRPr="00DA60CC">
        <w:rPr>
          <w:rFonts w:hint="eastAsia"/>
          <w:sz w:val="24"/>
        </w:rPr>
        <w:t>当社</w:t>
      </w:r>
      <w:r>
        <w:rPr>
          <w:rFonts w:hint="eastAsia"/>
          <w:sz w:val="24"/>
        </w:rPr>
        <w:t>電磁的方法</w:t>
      </w:r>
      <w:r w:rsidRPr="00DA60CC">
        <w:rPr>
          <w:rFonts w:hint="eastAsia"/>
          <w:sz w:val="24"/>
        </w:rPr>
        <w:t xml:space="preserve"> </w:t>
      </w:r>
      <w:r w:rsidRPr="00DA60CC">
        <w:rPr>
          <w:rFonts w:hint="eastAsia"/>
          <w:sz w:val="24"/>
        </w:rPr>
        <w:t>】</w:t>
      </w:r>
      <w:r>
        <w:rPr>
          <w:rFonts w:hint="eastAsia"/>
          <w:sz w:val="24"/>
        </w:rPr>
        <w:t>により、改正後の約諾書の内容を承諾した旨をご通知くださいます</w:t>
      </w:r>
      <w:r w:rsidRPr="00DA60CC">
        <w:rPr>
          <w:rFonts w:hint="eastAsia"/>
          <w:sz w:val="24"/>
        </w:rPr>
        <w:t>ようお願い申し上げます。</w:t>
      </w:r>
    </w:p>
    <w:p w14:paraId="4E477674" w14:textId="77777777" w:rsidR="00037D1B" w:rsidRPr="00037D1B" w:rsidRDefault="00037D1B" w:rsidP="00037D1B">
      <w:pPr>
        <w:rPr>
          <w:sz w:val="24"/>
        </w:rPr>
      </w:pPr>
    </w:p>
    <w:p w14:paraId="269813D6" w14:textId="77777777" w:rsidR="00037D1B" w:rsidRPr="00DA60CC" w:rsidRDefault="00037D1B" w:rsidP="00037D1B">
      <w:pPr>
        <w:rPr>
          <w:sz w:val="24"/>
        </w:rPr>
      </w:pPr>
    </w:p>
    <w:p w14:paraId="333DCE76" w14:textId="77777777" w:rsidR="00037D1B" w:rsidRPr="00DA60CC" w:rsidRDefault="00037D1B" w:rsidP="00037D1B">
      <w:pPr>
        <w:jc w:val="center"/>
        <w:rPr>
          <w:sz w:val="24"/>
        </w:rPr>
      </w:pPr>
      <w:r w:rsidRPr="00DA60CC">
        <w:rPr>
          <w:rFonts w:hint="eastAsia"/>
          <w:sz w:val="24"/>
        </w:rPr>
        <w:t>記</w:t>
      </w:r>
    </w:p>
    <w:p w14:paraId="652656E9" w14:textId="77777777" w:rsidR="00037D1B" w:rsidRPr="00DA60CC" w:rsidRDefault="00037D1B" w:rsidP="00037D1B">
      <w:pPr>
        <w:rPr>
          <w:sz w:val="24"/>
        </w:rPr>
      </w:pPr>
    </w:p>
    <w:p w14:paraId="7EB98C4F" w14:textId="77777777" w:rsidR="00BA3A53" w:rsidRPr="00DA60CC" w:rsidRDefault="00BA3A53" w:rsidP="00BA3A53">
      <w:pPr>
        <w:rPr>
          <w:sz w:val="24"/>
        </w:rPr>
      </w:pPr>
      <w:r w:rsidRPr="00DA60CC">
        <w:rPr>
          <w:rFonts w:hint="eastAsia"/>
          <w:sz w:val="24"/>
        </w:rPr>
        <w:t>１．概要</w:t>
      </w:r>
    </w:p>
    <w:p w14:paraId="2F489ED2" w14:textId="77777777" w:rsidR="00BA3A53" w:rsidRPr="00DA60CC" w:rsidRDefault="00BA3A53" w:rsidP="00BA3A53">
      <w:pPr>
        <w:ind w:firstLineChars="100" w:firstLine="240"/>
        <w:rPr>
          <w:sz w:val="24"/>
        </w:rPr>
      </w:pPr>
      <w:r w:rsidRPr="00BA3A53">
        <w:rPr>
          <w:rFonts w:hint="eastAsia"/>
          <w:sz w:val="24"/>
        </w:rPr>
        <w:t>株式会社日本証券クリアリング機構におけるクロスマージン制度の対象取引拡大</w:t>
      </w:r>
      <w:r w:rsidRPr="00DA60CC">
        <w:rPr>
          <w:rFonts w:hint="eastAsia"/>
          <w:sz w:val="24"/>
        </w:rPr>
        <w:t>に</w:t>
      </w:r>
      <w:r>
        <w:rPr>
          <w:rFonts w:hint="eastAsia"/>
          <w:sz w:val="24"/>
        </w:rPr>
        <w:t>伴い、所要の改正を行うものです</w:t>
      </w:r>
      <w:r w:rsidRPr="00DA60CC">
        <w:rPr>
          <w:rFonts w:hint="eastAsia"/>
          <w:sz w:val="24"/>
        </w:rPr>
        <w:t>。</w:t>
      </w:r>
    </w:p>
    <w:p w14:paraId="1001BC54" w14:textId="77777777" w:rsidR="00BA3A53" w:rsidRPr="00DA60CC" w:rsidRDefault="00BA3A53" w:rsidP="00BA3A53">
      <w:pPr>
        <w:rPr>
          <w:sz w:val="24"/>
        </w:rPr>
      </w:pPr>
    </w:p>
    <w:p w14:paraId="2DA2946B" w14:textId="77777777" w:rsidR="00BA3A53" w:rsidRPr="00DA60CC" w:rsidRDefault="00BA3A53" w:rsidP="00BA3A53">
      <w:pPr>
        <w:rPr>
          <w:sz w:val="24"/>
        </w:rPr>
      </w:pPr>
      <w:r w:rsidRPr="00DA60CC">
        <w:rPr>
          <w:rFonts w:hint="eastAsia"/>
          <w:sz w:val="24"/>
        </w:rPr>
        <w:t>２．施行日</w:t>
      </w:r>
    </w:p>
    <w:p w14:paraId="5124A5A9" w14:textId="77777777" w:rsidR="00BA3A53" w:rsidRPr="00DA60CC" w:rsidRDefault="00BA3A53" w:rsidP="00BA3A53">
      <w:pPr>
        <w:ind w:firstLineChars="100" w:firstLine="240"/>
        <w:rPr>
          <w:sz w:val="24"/>
        </w:rPr>
      </w:pPr>
      <w:r>
        <w:rPr>
          <w:rFonts w:hint="eastAsia"/>
          <w:sz w:val="24"/>
        </w:rPr>
        <w:t>令和６年３</w:t>
      </w:r>
      <w:r w:rsidRPr="00DA60CC">
        <w:rPr>
          <w:rFonts w:hint="eastAsia"/>
          <w:sz w:val="24"/>
        </w:rPr>
        <w:t>月</w:t>
      </w:r>
      <w:r>
        <w:rPr>
          <w:rFonts w:hint="eastAsia"/>
          <w:sz w:val="24"/>
        </w:rPr>
        <w:t>４</w:t>
      </w:r>
      <w:r w:rsidRPr="00DA60CC">
        <w:rPr>
          <w:rFonts w:hint="eastAsia"/>
          <w:sz w:val="24"/>
        </w:rPr>
        <w:t>日</w:t>
      </w:r>
    </w:p>
    <w:p w14:paraId="292327BB" w14:textId="77777777" w:rsidR="00037D1B" w:rsidRPr="00DA60CC" w:rsidRDefault="00037D1B" w:rsidP="00037D1B">
      <w:pPr>
        <w:rPr>
          <w:sz w:val="24"/>
        </w:rPr>
      </w:pPr>
    </w:p>
    <w:p w14:paraId="44B7F724" w14:textId="77777777" w:rsidR="00037D1B" w:rsidRPr="00DA60CC" w:rsidRDefault="00037D1B" w:rsidP="00037D1B">
      <w:pPr>
        <w:jc w:val="right"/>
        <w:rPr>
          <w:sz w:val="24"/>
        </w:rPr>
      </w:pPr>
      <w:r w:rsidRPr="00DA60CC">
        <w:rPr>
          <w:rFonts w:hint="eastAsia"/>
          <w:sz w:val="24"/>
        </w:rPr>
        <w:t>以　上</w:t>
      </w:r>
    </w:p>
    <w:p w14:paraId="6091017C" w14:textId="77777777" w:rsidR="00037D1B" w:rsidRDefault="00037D1B" w:rsidP="00037D1B">
      <w:pPr>
        <w:rPr>
          <w:sz w:val="24"/>
        </w:rPr>
      </w:pPr>
    </w:p>
    <w:p w14:paraId="35F2D0FB" w14:textId="77777777" w:rsidR="0078185E" w:rsidRDefault="0078185E">
      <w:pPr>
        <w:widowControl/>
        <w:jc w:val="left"/>
        <w:rPr>
          <w:sz w:val="24"/>
        </w:rPr>
      </w:pPr>
      <w:r>
        <w:rPr>
          <w:sz w:val="24"/>
        </w:rPr>
        <w:br w:type="page"/>
      </w:r>
    </w:p>
    <w:p w14:paraId="3F480C58" w14:textId="77777777" w:rsidR="00DA3586" w:rsidRPr="00DA60CC" w:rsidRDefault="00DA3586" w:rsidP="00DA3586">
      <w:pPr>
        <w:jc w:val="left"/>
        <w:rPr>
          <w:rFonts w:asciiTheme="majorEastAsia" w:eastAsiaTheme="majorEastAsia" w:hAnsiTheme="majorEastAsia"/>
          <w:b/>
          <w:sz w:val="24"/>
        </w:rPr>
      </w:pPr>
      <w:r w:rsidRPr="00DA60CC">
        <w:rPr>
          <w:rFonts w:asciiTheme="majorEastAsia" w:eastAsiaTheme="majorEastAsia" w:hAnsiTheme="majorEastAsia" w:hint="eastAsia"/>
          <w:b/>
          <w:sz w:val="24"/>
          <w:bdr w:val="single" w:sz="4" w:space="0" w:color="auto"/>
        </w:rPr>
        <w:lastRenderedPageBreak/>
        <w:t>ひな型</w:t>
      </w:r>
      <w:r w:rsidRPr="00DA60CC">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電磁的方法</w:t>
      </w:r>
      <w:r w:rsidRPr="00DA60CC">
        <w:rPr>
          <w:rFonts w:asciiTheme="majorEastAsia" w:eastAsiaTheme="majorEastAsia" w:hAnsiTheme="majorEastAsia" w:hint="eastAsia"/>
          <w:b/>
          <w:sz w:val="24"/>
        </w:rPr>
        <w:t>により</w:t>
      </w:r>
      <w:r>
        <w:rPr>
          <w:rFonts w:asciiTheme="majorEastAsia" w:eastAsiaTheme="majorEastAsia" w:hAnsiTheme="majorEastAsia" w:hint="eastAsia"/>
          <w:b/>
          <w:sz w:val="24"/>
        </w:rPr>
        <w:t>了承文書の差入れを受ける</w:t>
      </w:r>
      <w:r w:rsidRPr="00DA60CC">
        <w:rPr>
          <w:rFonts w:asciiTheme="majorEastAsia" w:eastAsiaTheme="majorEastAsia" w:hAnsiTheme="majorEastAsia" w:hint="eastAsia"/>
          <w:b/>
          <w:sz w:val="24"/>
        </w:rPr>
        <w:t>場合</w:t>
      </w:r>
      <w:r>
        <w:rPr>
          <w:rFonts w:asciiTheme="majorEastAsia" w:eastAsiaTheme="majorEastAsia" w:hAnsiTheme="majorEastAsia" w:hint="eastAsia"/>
          <w:b/>
          <w:sz w:val="24"/>
        </w:rPr>
        <w:t>の</w:t>
      </w:r>
      <w:r w:rsidR="00457E8E">
        <w:rPr>
          <w:rFonts w:asciiTheme="majorEastAsia" w:eastAsiaTheme="majorEastAsia" w:hAnsiTheme="majorEastAsia" w:hint="eastAsia"/>
          <w:b/>
          <w:sz w:val="24"/>
        </w:rPr>
        <w:t>説明文書</w:t>
      </w:r>
      <w:r w:rsidRPr="00DA60CC">
        <w:rPr>
          <w:rFonts w:asciiTheme="majorEastAsia" w:eastAsiaTheme="majorEastAsia" w:hAnsiTheme="majorEastAsia" w:hint="eastAsia"/>
          <w:b/>
          <w:sz w:val="24"/>
        </w:rPr>
        <w:t>）</w:t>
      </w:r>
    </w:p>
    <w:p w14:paraId="4A0E59AB" w14:textId="77777777" w:rsidR="00DA3586" w:rsidRPr="00DA60CC" w:rsidRDefault="00DA3586" w:rsidP="00DA3586">
      <w:pPr>
        <w:jc w:val="right"/>
        <w:rPr>
          <w:sz w:val="24"/>
        </w:rPr>
      </w:pPr>
    </w:p>
    <w:p w14:paraId="2392DCD3" w14:textId="77777777" w:rsidR="00DA3586" w:rsidRPr="00DA60CC" w:rsidRDefault="007E4BB3" w:rsidP="00DA3586">
      <w:pPr>
        <w:jc w:val="right"/>
        <w:rPr>
          <w:sz w:val="24"/>
        </w:rPr>
      </w:pPr>
      <w:r>
        <w:rPr>
          <w:rFonts w:hint="eastAsia"/>
          <w:sz w:val="24"/>
        </w:rPr>
        <w:t>令和</w:t>
      </w:r>
      <w:r w:rsidR="00457E8E">
        <w:rPr>
          <w:rFonts w:hint="eastAsia"/>
          <w:sz w:val="24"/>
        </w:rPr>
        <w:t xml:space="preserve">　</w:t>
      </w:r>
      <w:r w:rsidR="00DA3586" w:rsidRPr="00DA60CC">
        <w:rPr>
          <w:rFonts w:hint="eastAsia"/>
          <w:sz w:val="24"/>
        </w:rPr>
        <w:t>年　月　日</w:t>
      </w:r>
    </w:p>
    <w:p w14:paraId="542E4D1D" w14:textId="77777777" w:rsidR="00DA3586" w:rsidRPr="00DA60CC" w:rsidRDefault="00DA3586" w:rsidP="00DA3586">
      <w:pPr>
        <w:rPr>
          <w:sz w:val="24"/>
        </w:rPr>
      </w:pPr>
    </w:p>
    <w:p w14:paraId="0F512FCC" w14:textId="77777777" w:rsidR="00DA3586" w:rsidRPr="00DA60CC" w:rsidRDefault="00DA3586" w:rsidP="00DA3586">
      <w:pPr>
        <w:rPr>
          <w:sz w:val="24"/>
        </w:rPr>
      </w:pPr>
      <w:r w:rsidRPr="00DA60CC">
        <w:rPr>
          <w:rFonts w:hint="eastAsia"/>
          <w:sz w:val="24"/>
        </w:rPr>
        <w:t>お客様各位</w:t>
      </w:r>
    </w:p>
    <w:p w14:paraId="38A36BEB" w14:textId="77777777" w:rsidR="00DA3586" w:rsidRPr="00DA60CC" w:rsidRDefault="00DA3586" w:rsidP="00DA3586">
      <w:pPr>
        <w:rPr>
          <w:sz w:val="24"/>
        </w:rPr>
      </w:pPr>
    </w:p>
    <w:p w14:paraId="706FE2CC" w14:textId="77777777" w:rsidR="00DA3586" w:rsidRPr="00DA60CC" w:rsidRDefault="00DA3586" w:rsidP="00DA3586">
      <w:pPr>
        <w:jc w:val="right"/>
        <w:rPr>
          <w:sz w:val="24"/>
          <w:lang w:eastAsia="zh-CN"/>
        </w:rPr>
      </w:pPr>
      <w:r w:rsidRPr="00DA60CC">
        <w:rPr>
          <w:rFonts w:hint="eastAsia"/>
          <w:sz w:val="24"/>
          <w:lang w:eastAsia="zh-CN"/>
        </w:rPr>
        <w:t>＿＿＿＿＿＿＿＿＿会社</w:t>
      </w:r>
    </w:p>
    <w:p w14:paraId="0F5C9071" w14:textId="77777777" w:rsidR="00DA3586" w:rsidRDefault="00DA3586" w:rsidP="00DA3586">
      <w:pPr>
        <w:rPr>
          <w:sz w:val="24"/>
          <w:lang w:eastAsia="zh-CN"/>
        </w:rPr>
      </w:pPr>
    </w:p>
    <w:p w14:paraId="6D1DFAEB" w14:textId="77777777" w:rsidR="00DA3586" w:rsidRPr="00DA60CC" w:rsidRDefault="00DA3586" w:rsidP="00DA3586">
      <w:pPr>
        <w:rPr>
          <w:sz w:val="24"/>
          <w:lang w:eastAsia="zh-CN"/>
        </w:rPr>
      </w:pPr>
    </w:p>
    <w:p w14:paraId="322FE83B" w14:textId="77777777" w:rsidR="00DA3586" w:rsidRPr="00DA60CC" w:rsidRDefault="00DA3586" w:rsidP="00DA3586">
      <w:pPr>
        <w:jc w:val="center"/>
        <w:rPr>
          <w:sz w:val="24"/>
        </w:rPr>
      </w:pPr>
      <w:r w:rsidRPr="00DA60CC">
        <w:rPr>
          <w:rFonts w:hint="eastAsia"/>
          <w:sz w:val="24"/>
        </w:rPr>
        <w:t>先物・オプション取引口座設定約諾書の一部改正について</w:t>
      </w:r>
    </w:p>
    <w:p w14:paraId="72ECF7C5" w14:textId="77777777" w:rsidR="00DA3586" w:rsidRPr="00DA60CC" w:rsidRDefault="00DA3586" w:rsidP="00DA3586">
      <w:pPr>
        <w:rPr>
          <w:sz w:val="24"/>
        </w:rPr>
      </w:pPr>
    </w:p>
    <w:p w14:paraId="07EA46B1" w14:textId="77777777" w:rsidR="00DA3586" w:rsidRPr="00DA60CC" w:rsidRDefault="00DA3586" w:rsidP="00DA3586">
      <w:pPr>
        <w:ind w:firstLineChars="100" w:firstLine="240"/>
        <w:rPr>
          <w:sz w:val="24"/>
        </w:rPr>
      </w:pPr>
      <w:r w:rsidRPr="00DA60CC">
        <w:rPr>
          <w:rFonts w:hint="eastAsia"/>
          <w:sz w:val="24"/>
        </w:rPr>
        <w:t>この度、株式会社大阪取引所において、下記のとおり、先物・オプション取引口座設定約諾書（以下「約諾書」という。）の一部改正が行われることとなります。</w:t>
      </w:r>
    </w:p>
    <w:p w14:paraId="41A6AD2C" w14:textId="77777777" w:rsidR="00DA3586" w:rsidRPr="00DA60CC" w:rsidRDefault="00DA3586" w:rsidP="00DA3586">
      <w:pPr>
        <w:ind w:firstLineChars="100" w:firstLine="240"/>
        <w:rPr>
          <w:sz w:val="24"/>
        </w:rPr>
      </w:pPr>
      <w:r w:rsidRPr="00DA60CC">
        <w:rPr>
          <w:rFonts w:hint="eastAsia"/>
          <w:sz w:val="24"/>
        </w:rPr>
        <w:t>つきましては、お客様におかれましては、かかる約諾書の改正内容にご同意くださいます場合には、【</w:t>
      </w:r>
      <w:r w:rsidRPr="00DA60CC">
        <w:rPr>
          <w:rFonts w:hint="eastAsia"/>
          <w:sz w:val="24"/>
        </w:rPr>
        <w:t xml:space="preserve"> </w:t>
      </w:r>
      <w:r w:rsidRPr="00DA60CC">
        <w:rPr>
          <w:rFonts w:hint="eastAsia"/>
          <w:sz w:val="24"/>
        </w:rPr>
        <w:t>当社</w:t>
      </w:r>
      <w:r>
        <w:rPr>
          <w:rFonts w:hint="eastAsia"/>
          <w:sz w:val="24"/>
        </w:rPr>
        <w:t>電磁的方法</w:t>
      </w:r>
      <w:r w:rsidRPr="00DA60CC">
        <w:rPr>
          <w:rFonts w:hint="eastAsia"/>
          <w:sz w:val="24"/>
        </w:rPr>
        <w:t xml:space="preserve"> </w:t>
      </w:r>
      <w:r w:rsidRPr="00DA60CC">
        <w:rPr>
          <w:rFonts w:hint="eastAsia"/>
          <w:sz w:val="24"/>
        </w:rPr>
        <w:t>】</w:t>
      </w:r>
      <w:r>
        <w:rPr>
          <w:rFonts w:hint="eastAsia"/>
          <w:sz w:val="24"/>
        </w:rPr>
        <w:t>により、約諾書の改正内容を承諾した旨を記載した所定の了承文書をご通知くださいます</w:t>
      </w:r>
      <w:r w:rsidRPr="00DA60CC">
        <w:rPr>
          <w:rFonts w:hint="eastAsia"/>
          <w:sz w:val="24"/>
        </w:rPr>
        <w:t>ようお願い申し上げます。</w:t>
      </w:r>
    </w:p>
    <w:p w14:paraId="324E45A8" w14:textId="77777777" w:rsidR="00DA3586" w:rsidRPr="00DA60CC" w:rsidRDefault="00DA3586" w:rsidP="00DA3586">
      <w:pPr>
        <w:rPr>
          <w:sz w:val="24"/>
        </w:rPr>
      </w:pPr>
    </w:p>
    <w:p w14:paraId="7FD2FB3E" w14:textId="77777777" w:rsidR="00DA3586" w:rsidRPr="00DA60CC" w:rsidRDefault="00DA3586" w:rsidP="00DA3586">
      <w:pPr>
        <w:rPr>
          <w:sz w:val="24"/>
        </w:rPr>
      </w:pPr>
    </w:p>
    <w:p w14:paraId="5BFD8916" w14:textId="77777777" w:rsidR="00DA3586" w:rsidRPr="00DA60CC" w:rsidRDefault="00DA3586" w:rsidP="00DA3586">
      <w:pPr>
        <w:jc w:val="center"/>
        <w:rPr>
          <w:sz w:val="24"/>
        </w:rPr>
      </w:pPr>
      <w:r w:rsidRPr="00DA60CC">
        <w:rPr>
          <w:rFonts w:hint="eastAsia"/>
          <w:sz w:val="24"/>
        </w:rPr>
        <w:t>記</w:t>
      </w:r>
    </w:p>
    <w:p w14:paraId="2880EBBB" w14:textId="77777777" w:rsidR="00DA3586" w:rsidRPr="00DA60CC" w:rsidRDefault="00DA3586" w:rsidP="00DA3586">
      <w:pPr>
        <w:rPr>
          <w:sz w:val="24"/>
        </w:rPr>
      </w:pPr>
    </w:p>
    <w:p w14:paraId="05F4279A" w14:textId="77777777" w:rsidR="00BA3A53" w:rsidRPr="00DA60CC" w:rsidRDefault="00BA3A53" w:rsidP="00BA3A53">
      <w:pPr>
        <w:rPr>
          <w:sz w:val="24"/>
        </w:rPr>
      </w:pPr>
      <w:r w:rsidRPr="00DA60CC">
        <w:rPr>
          <w:rFonts w:hint="eastAsia"/>
          <w:sz w:val="24"/>
        </w:rPr>
        <w:t>１．概要</w:t>
      </w:r>
    </w:p>
    <w:p w14:paraId="02A0054F" w14:textId="77777777" w:rsidR="00BA3A53" w:rsidRPr="00DA60CC" w:rsidRDefault="00BA3A53" w:rsidP="00BA3A53">
      <w:pPr>
        <w:ind w:firstLineChars="100" w:firstLine="240"/>
        <w:rPr>
          <w:sz w:val="24"/>
        </w:rPr>
      </w:pPr>
      <w:r w:rsidRPr="00BA3A53">
        <w:rPr>
          <w:rFonts w:hint="eastAsia"/>
          <w:sz w:val="24"/>
        </w:rPr>
        <w:t>株式会社日本証券クリアリング機構におけるクロスマージン制度の対象取引拡大</w:t>
      </w:r>
      <w:r w:rsidRPr="00DA60CC">
        <w:rPr>
          <w:rFonts w:hint="eastAsia"/>
          <w:sz w:val="24"/>
        </w:rPr>
        <w:t>に</w:t>
      </w:r>
      <w:r>
        <w:rPr>
          <w:rFonts w:hint="eastAsia"/>
          <w:sz w:val="24"/>
        </w:rPr>
        <w:t>伴い、所要の改正を行うものです</w:t>
      </w:r>
      <w:r w:rsidRPr="00DA60CC">
        <w:rPr>
          <w:rFonts w:hint="eastAsia"/>
          <w:sz w:val="24"/>
        </w:rPr>
        <w:t>。</w:t>
      </w:r>
    </w:p>
    <w:p w14:paraId="4FF84A51" w14:textId="77777777" w:rsidR="00BA3A53" w:rsidRPr="00DA60CC" w:rsidRDefault="00BA3A53" w:rsidP="00BA3A53">
      <w:pPr>
        <w:rPr>
          <w:sz w:val="24"/>
        </w:rPr>
      </w:pPr>
    </w:p>
    <w:p w14:paraId="0347DC20" w14:textId="77777777" w:rsidR="00BA3A53" w:rsidRPr="00DA60CC" w:rsidRDefault="00BA3A53" w:rsidP="00BA3A53">
      <w:pPr>
        <w:rPr>
          <w:sz w:val="24"/>
        </w:rPr>
      </w:pPr>
      <w:r w:rsidRPr="00DA60CC">
        <w:rPr>
          <w:rFonts w:hint="eastAsia"/>
          <w:sz w:val="24"/>
        </w:rPr>
        <w:t>２．施行日</w:t>
      </w:r>
    </w:p>
    <w:p w14:paraId="76D461CE" w14:textId="77777777" w:rsidR="00BA3A53" w:rsidRPr="00DA60CC" w:rsidRDefault="00BA3A53" w:rsidP="00BA3A53">
      <w:pPr>
        <w:ind w:firstLineChars="100" w:firstLine="240"/>
        <w:rPr>
          <w:sz w:val="24"/>
        </w:rPr>
      </w:pPr>
      <w:r>
        <w:rPr>
          <w:rFonts w:hint="eastAsia"/>
          <w:sz w:val="24"/>
        </w:rPr>
        <w:t>令和６年３</w:t>
      </w:r>
      <w:r w:rsidRPr="00DA60CC">
        <w:rPr>
          <w:rFonts w:hint="eastAsia"/>
          <w:sz w:val="24"/>
        </w:rPr>
        <w:t>月</w:t>
      </w:r>
      <w:r>
        <w:rPr>
          <w:rFonts w:hint="eastAsia"/>
          <w:sz w:val="24"/>
        </w:rPr>
        <w:t>４</w:t>
      </w:r>
      <w:r w:rsidRPr="00DA60CC">
        <w:rPr>
          <w:rFonts w:hint="eastAsia"/>
          <w:sz w:val="24"/>
        </w:rPr>
        <w:t>日</w:t>
      </w:r>
    </w:p>
    <w:p w14:paraId="6425591A" w14:textId="77777777" w:rsidR="00DA3586" w:rsidRPr="00DA60CC" w:rsidRDefault="00DA3586" w:rsidP="00DA3586">
      <w:pPr>
        <w:rPr>
          <w:sz w:val="24"/>
        </w:rPr>
      </w:pPr>
    </w:p>
    <w:p w14:paraId="07D81E54" w14:textId="77777777" w:rsidR="00DA3586" w:rsidRPr="00DA60CC" w:rsidRDefault="00DA3586" w:rsidP="00DA3586">
      <w:pPr>
        <w:jc w:val="right"/>
        <w:rPr>
          <w:sz w:val="24"/>
        </w:rPr>
      </w:pPr>
      <w:r w:rsidRPr="00DA60CC">
        <w:rPr>
          <w:rFonts w:hint="eastAsia"/>
          <w:sz w:val="24"/>
        </w:rPr>
        <w:t>以　上</w:t>
      </w:r>
    </w:p>
    <w:p w14:paraId="091034DE" w14:textId="77777777" w:rsidR="00DA3586" w:rsidRPr="00DA60CC" w:rsidRDefault="00DA3586" w:rsidP="00DA3586">
      <w:pPr>
        <w:rPr>
          <w:sz w:val="24"/>
        </w:rPr>
      </w:pPr>
    </w:p>
    <w:p w14:paraId="4DC8CC8A" w14:textId="77777777" w:rsidR="00DA3586" w:rsidRDefault="00DA3586" w:rsidP="00DA3586">
      <w:pPr>
        <w:widowControl/>
        <w:jc w:val="left"/>
      </w:pPr>
      <w:r>
        <w:br w:type="page"/>
      </w:r>
    </w:p>
    <w:p w14:paraId="2B5BA433" w14:textId="77777777" w:rsidR="0078185E" w:rsidRPr="00DA60CC" w:rsidRDefault="0078185E" w:rsidP="0078185E">
      <w:pPr>
        <w:jc w:val="left"/>
        <w:rPr>
          <w:rFonts w:asciiTheme="majorEastAsia" w:eastAsiaTheme="majorEastAsia" w:hAnsiTheme="majorEastAsia"/>
          <w:b/>
          <w:sz w:val="24"/>
        </w:rPr>
      </w:pPr>
      <w:r w:rsidRPr="00DA60CC">
        <w:rPr>
          <w:rFonts w:asciiTheme="majorEastAsia" w:eastAsiaTheme="majorEastAsia" w:hAnsiTheme="majorEastAsia" w:hint="eastAsia"/>
          <w:b/>
          <w:sz w:val="24"/>
          <w:bdr w:val="single" w:sz="4" w:space="0" w:color="auto"/>
        </w:rPr>
        <w:lastRenderedPageBreak/>
        <w:t>ひな型</w:t>
      </w:r>
      <w:r w:rsidRPr="00DA60CC">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了承文書</w:t>
      </w:r>
      <w:r w:rsidRPr="00DA60CC">
        <w:rPr>
          <w:rFonts w:asciiTheme="majorEastAsia" w:eastAsiaTheme="majorEastAsia" w:hAnsiTheme="majorEastAsia" w:hint="eastAsia"/>
          <w:b/>
          <w:sz w:val="24"/>
        </w:rPr>
        <w:t>）</w:t>
      </w:r>
    </w:p>
    <w:p w14:paraId="07715E0E" w14:textId="77777777" w:rsidR="0078185E" w:rsidRDefault="0078185E" w:rsidP="00037D1B">
      <w:pPr>
        <w:rPr>
          <w:sz w:val="24"/>
        </w:rPr>
      </w:pPr>
    </w:p>
    <w:p w14:paraId="2331E813" w14:textId="77777777" w:rsidR="0078185E" w:rsidRPr="00DA60CC" w:rsidRDefault="0078185E" w:rsidP="0078185E">
      <w:pPr>
        <w:jc w:val="left"/>
        <w:rPr>
          <w:sz w:val="24"/>
        </w:rPr>
      </w:pPr>
      <w:r w:rsidRPr="00DA60CC">
        <w:rPr>
          <w:rFonts w:hint="eastAsia"/>
          <w:sz w:val="24"/>
        </w:rPr>
        <w:t>＿＿＿＿＿＿＿＿＿会社</w:t>
      </w:r>
      <w:r>
        <w:rPr>
          <w:rFonts w:hint="eastAsia"/>
          <w:sz w:val="24"/>
        </w:rPr>
        <w:t xml:space="preserve">　御中</w:t>
      </w:r>
    </w:p>
    <w:p w14:paraId="530E673E" w14:textId="77777777" w:rsidR="0078185E" w:rsidRDefault="0078185E" w:rsidP="0078185E">
      <w:pPr>
        <w:jc w:val="left"/>
        <w:rPr>
          <w:sz w:val="24"/>
        </w:rPr>
      </w:pPr>
    </w:p>
    <w:p w14:paraId="6A9B9C06" w14:textId="1C30B082" w:rsidR="0078185E" w:rsidRPr="0078185E" w:rsidRDefault="0078185E" w:rsidP="0078185E">
      <w:pPr>
        <w:ind w:firstLineChars="100" w:firstLine="240"/>
        <w:rPr>
          <w:sz w:val="24"/>
        </w:rPr>
      </w:pPr>
      <w:r w:rsidRPr="0078185E">
        <w:rPr>
          <w:rFonts w:hint="eastAsia"/>
          <w:sz w:val="24"/>
        </w:rPr>
        <w:t>私は、</w:t>
      </w:r>
      <w:r w:rsidR="007E4BB3">
        <w:rPr>
          <w:rFonts w:hint="eastAsia"/>
          <w:sz w:val="24"/>
        </w:rPr>
        <w:t>令和</w:t>
      </w:r>
      <w:r w:rsidR="00BA3A53">
        <w:rPr>
          <w:rFonts w:hint="eastAsia"/>
          <w:sz w:val="24"/>
        </w:rPr>
        <w:t>６</w:t>
      </w:r>
      <w:r w:rsidRPr="0078185E">
        <w:rPr>
          <w:rFonts w:hint="eastAsia"/>
          <w:sz w:val="24"/>
        </w:rPr>
        <w:t>年</w:t>
      </w:r>
      <w:r w:rsidR="00BA3A53">
        <w:rPr>
          <w:rFonts w:hint="eastAsia"/>
          <w:sz w:val="24"/>
        </w:rPr>
        <w:t>３</w:t>
      </w:r>
      <w:r w:rsidRPr="0078185E">
        <w:rPr>
          <w:rFonts w:hint="eastAsia"/>
          <w:sz w:val="24"/>
        </w:rPr>
        <w:t>月</w:t>
      </w:r>
      <w:r w:rsidR="00BA3A53">
        <w:rPr>
          <w:rFonts w:hint="eastAsia"/>
          <w:sz w:val="24"/>
        </w:rPr>
        <w:t>４</w:t>
      </w:r>
      <w:r w:rsidRPr="0078185E">
        <w:rPr>
          <w:rFonts w:hint="eastAsia"/>
          <w:sz w:val="24"/>
        </w:rPr>
        <w:t>日付で、「先物・オプション取引口座設定約諾書」が下記のとおり一部改正されることを承諾し、これを証するため、この文書を差し入れます。</w:t>
      </w:r>
    </w:p>
    <w:p w14:paraId="6EBD7E99" w14:textId="77777777" w:rsidR="0078185E" w:rsidRDefault="0078185E" w:rsidP="0078185E">
      <w:pPr>
        <w:rPr>
          <w:sz w:val="24"/>
        </w:rPr>
      </w:pPr>
    </w:p>
    <w:p w14:paraId="76AEAD6A" w14:textId="77777777" w:rsidR="0078185E" w:rsidRDefault="0078185E" w:rsidP="0078185E">
      <w:pPr>
        <w:rPr>
          <w:sz w:val="24"/>
        </w:rPr>
      </w:pPr>
    </w:p>
    <w:p w14:paraId="263FA2D6" w14:textId="77777777" w:rsidR="0078185E" w:rsidRPr="0078185E" w:rsidRDefault="007E4BB3" w:rsidP="00457E8E">
      <w:pPr>
        <w:ind w:firstLineChars="200" w:firstLine="480"/>
        <w:rPr>
          <w:sz w:val="24"/>
        </w:rPr>
      </w:pPr>
      <w:r>
        <w:rPr>
          <w:rFonts w:hint="eastAsia"/>
          <w:sz w:val="24"/>
        </w:rPr>
        <w:t>令和</w:t>
      </w:r>
      <w:r w:rsidR="00457E8E">
        <w:rPr>
          <w:rFonts w:hint="eastAsia"/>
          <w:sz w:val="24"/>
        </w:rPr>
        <w:t xml:space="preserve">　</w:t>
      </w:r>
      <w:r w:rsidR="0078185E" w:rsidRPr="0078185E">
        <w:rPr>
          <w:rFonts w:hint="eastAsia"/>
          <w:sz w:val="24"/>
        </w:rPr>
        <w:t>年</w:t>
      </w:r>
      <w:r w:rsidR="0078185E">
        <w:rPr>
          <w:rFonts w:hint="eastAsia"/>
          <w:sz w:val="24"/>
        </w:rPr>
        <w:t xml:space="preserve">　</w:t>
      </w:r>
      <w:r w:rsidR="0078185E" w:rsidRPr="0078185E">
        <w:rPr>
          <w:rFonts w:hint="eastAsia"/>
          <w:sz w:val="24"/>
        </w:rPr>
        <w:t>月</w:t>
      </w:r>
      <w:r w:rsidR="0078185E">
        <w:rPr>
          <w:rFonts w:hint="eastAsia"/>
          <w:sz w:val="24"/>
        </w:rPr>
        <w:t xml:space="preserve">　</w:t>
      </w:r>
      <w:r w:rsidR="0078185E" w:rsidRPr="0078185E">
        <w:rPr>
          <w:rFonts w:hint="eastAsia"/>
          <w:sz w:val="24"/>
        </w:rPr>
        <w:t>日</w:t>
      </w:r>
    </w:p>
    <w:p w14:paraId="7256B1CC" w14:textId="77777777" w:rsidR="0078185E" w:rsidRDefault="0078185E" w:rsidP="0078185E">
      <w:pPr>
        <w:rPr>
          <w:sz w:val="24"/>
        </w:rPr>
      </w:pPr>
    </w:p>
    <w:p w14:paraId="02EFD8F2" w14:textId="77777777" w:rsidR="0078185E" w:rsidRPr="0078185E" w:rsidRDefault="0078185E" w:rsidP="0078185E">
      <w:pPr>
        <w:ind w:leftChars="1957" w:left="4110"/>
        <w:rPr>
          <w:sz w:val="24"/>
        </w:rPr>
      </w:pPr>
      <w:r w:rsidRPr="0078185E">
        <w:rPr>
          <w:rFonts w:hint="eastAsia"/>
          <w:sz w:val="24"/>
        </w:rPr>
        <w:t>住所</w:t>
      </w:r>
    </w:p>
    <w:p w14:paraId="46627CE0" w14:textId="77777777" w:rsidR="0078185E" w:rsidRDefault="0078185E" w:rsidP="0078185E">
      <w:pPr>
        <w:ind w:leftChars="1957" w:left="4110"/>
        <w:rPr>
          <w:sz w:val="24"/>
        </w:rPr>
      </w:pPr>
    </w:p>
    <w:p w14:paraId="4B5D89B9" w14:textId="77777777" w:rsidR="0078185E" w:rsidRPr="0078185E" w:rsidRDefault="005F4CCD" w:rsidP="0078185E">
      <w:pPr>
        <w:ind w:leftChars="1957" w:left="4110"/>
        <w:rPr>
          <w:sz w:val="24"/>
        </w:rPr>
      </w:pPr>
      <w:r>
        <w:rPr>
          <w:rFonts w:hint="eastAsia"/>
          <w:sz w:val="24"/>
        </w:rPr>
        <w:t>委託者</w:t>
      </w:r>
    </w:p>
    <w:p w14:paraId="5E7961B6" w14:textId="77777777" w:rsidR="0078185E" w:rsidRDefault="0078185E" w:rsidP="0078185E">
      <w:pPr>
        <w:ind w:leftChars="1957" w:left="4110"/>
        <w:rPr>
          <w:sz w:val="24"/>
        </w:rPr>
      </w:pPr>
      <w:r w:rsidRPr="0078185E">
        <w:rPr>
          <w:rFonts w:hint="eastAsia"/>
          <w:sz w:val="24"/>
        </w:rPr>
        <w:t>氏名又は名称</w:t>
      </w:r>
      <w:r>
        <w:rPr>
          <w:rFonts w:hint="eastAsia"/>
          <w:sz w:val="24"/>
        </w:rPr>
        <w:t xml:space="preserve">　　　　　　　　　　印</w:t>
      </w:r>
    </w:p>
    <w:p w14:paraId="71A66558" w14:textId="77777777" w:rsidR="0078185E" w:rsidRDefault="0078185E" w:rsidP="00037D1B">
      <w:pPr>
        <w:rPr>
          <w:sz w:val="24"/>
        </w:rPr>
      </w:pPr>
    </w:p>
    <w:p w14:paraId="178AE632" w14:textId="77777777" w:rsidR="0078185E" w:rsidRDefault="0078185E" w:rsidP="00037D1B">
      <w:pPr>
        <w:rPr>
          <w:sz w:val="24"/>
        </w:rPr>
      </w:pPr>
    </w:p>
    <w:p w14:paraId="46ADBE24" w14:textId="77777777" w:rsidR="00F72667" w:rsidRDefault="0078185E" w:rsidP="00F72667">
      <w:pPr>
        <w:pStyle w:val="ae"/>
      </w:pPr>
      <w:r>
        <w:rPr>
          <w:rFonts w:hint="eastAsia"/>
        </w:rPr>
        <w:t>記</w:t>
      </w:r>
    </w:p>
    <w:p w14:paraId="12644AD7" w14:textId="77777777" w:rsidR="00F72667" w:rsidRDefault="00F72667" w:rsidP="00F72667"/>
    <w:tbl>
      <w:tblPr>
        <w:tblStyle w:val="af5"/>
        <w:tblW w:w="9340" w:type="dxa"/>
        <w:jc w:val="center"/>
        <w:tblLook w:val="04A0" w:firstRow="1" w:lastRow="0" w:firstColumn="1" w:lastColumn="0" w:noHBand="0" w:noVBand="1"/>
      </w:tblPr>
      <w:tblGrid>
        <w:gridCol w:w="4670"/>
        <w:gridCol w:w="4670"/>
      </w:tblGrid>
      <w:tr w:rsidR="00C42E7D" w:rsidRPr="00D26742" w14:paraId="49480839" w14:textId="77777777" w:rsidTr="00462704">
        <w:trPr>
          <w:jc w:val="center"/>
        </w:trPr>
        <w:tc>
          <w:tcPr>
            <w:tcW w:w="4670" w:type="dxa"/>
            <w:tcBorders>
              <w:top w:val="single" w:sz="4" w:space="0" w:color="auto"/>
              <w:left w:val="single" w:sz="4" w:space="0" w:color="auto"/>
              <w:bottom w:val="single" w:sz="4" w:space="0" w:color="auto"/>
              <w:right w:val="single" w:sz="4" w:space="0" w:color="auto"/>
            </w:tcBorders>
            <w:hideMark/>
          </w:tcPr>
          <w:p w14:paraId="00C6FA2A" w14:textId="77777777" w:rsidR="00C42E7D" w:rsidRPr="00D26742" w:rsidRDefault="00C42E7D" w:rsidP="00462704">
            <w:pPr>
              <w:jc w:val="center"/>
            </w:pPr>
            <w:r w:rsidRPr="00D26742">
              <w:rPr>
                <w:rFonts w:hint="eastAsia"/>
              </w:rPr>
              <w:t>新</w:t>
            </w:r>
          </w:p>
        </w:tc>
        <w:tc>
          <w:tcPr>
            <w:tcW w:w="4670" w:type="dxa"/>
            <w:tcBorders>
              <w:top w:val="single" w:sz="4" w:space="0" w:color="auto"/>
              <w:left w:val="single" w:sz="4" w:space="0" w:color="auto"/>
              <w:bottom w:val="single" w:sz="4" w:space="0" w:color="auto"/>
              <w:right w:val="single" w:sz="4" w:space="0" w:color="auto"/>
            </w:tcBorders>
            <w:hideMark/>
          </w:tcPr>
          <w:p w14:paraId="6C77C185" w14:textId="77777777" w:rsidR="00C42E7D" w:rsidRPr="00D26742" w:rsidRDefault="00C42E7D" w:rsidP="00462704">
            <w:pPr>
              <w:jc w:val="center"/>
            </w:pPr>
            <w:r w:rsidRPr="00D26742">
              <w:rPr>
                <w:rFonts w:hint="eastAsia"/>
              </w:rPr>
              <w:t>旧</w:t>
            </w:r>
          </w:p>
        </w:tc>
      </w:tr>
      <w:tr w:rsidR="00311ADA" w:rsidRPr="00D26742" w14:paraId="7BB8B153" w14:textId="77777777" w:rsidTr="00462704">
        <w:trPr>
          <w:jc w:val="center"/>
        </w:trPr>
        <w:tc>
          <w:tcPr>
            <w:tcW w:w="4670" w:type="dxa"/>
            <w:tcBorders>
              <w:top w:val="nil"/>
              <w:left w:val="single" w:sz="4" w:space="0" w:color="auto"/>
              <w:bottom w:val="nil"/>
              <w:right w:val="single" w:sz="4" w:space="0" w:color="auto"/>
            </w:tcBorders>
            <w:hideMark/>
          </w:tcPr>
          <w:p w14:paraId="6B70504A" w14:textId="39A6125F" w:rsidR="00311ADA" w:rsidRPr="00D26742" w:rsidRDefault="00311ADA" w:rsidP="0005002C">
            <w:pPr>
              <w:ind w:leftChars="100" w:left="420" w:hangingChars="100" w:hanging="210"/>
            </w:pPr>
            <w:r w:rsidRPr="008B58EC">
              <w:rPr>
                <w:rFonts w:hint="eastAsia"/>
              </w:rPr>
              <w:t>（クロスマージン対象国債先物清算約定</w:t>
            </w:r>
            <w:r w:rsidRPr="008B58EC">
              <w:rPr>
                <w:rFonts w:hint="eastAsia"/>
                <w:u w:val="single"/>
              </w:rPr>
              <w:t>及びクロスマージン対象金利先物清算約定</w:t>
            </w:r>
            <w:r w:rsidRPr="008B58EC">
              <w:rPr>
                <w:rFonts w:hint="eastAsia"/>
              </w:rPr>
              <w:t>に係る権利義務関係の消滅）</w:t>
            </w:r>
          </w:p>
        </w:tc>
        <w:tc>
          <w:tcPr>
            <w:tcW w:w="4670" w:type="dxa"/>
            <w:tcBorders>
              <w:top w:val="nil"/>
              <w:left w:val="single" w:sz="4" w:space="0" w:color="auto"/>
              <w:bottom w:val="nil"/>
              <w:right w:val="single" w:sz="4" w:space="0" w:color="auto"/>
            </w:tcBorders>
            <w:hideMark/>
          </w:tcPr>
          <w:p w14:paraId="4EC52210" w14:textId="435CAB77" w:rsidR="00311ADA" w:rsidRPr="00D26742" w:rsidRDefault="00311ADA" w:rsidP="0005002C">
            <w:pPr>
              <w:ind w:leftChars="100" w:left="420" w:hangingChars="100" w:hanging="210"/>
            </w:pPr>
            <w:r w:rsidRPr="008B58EC">
              <w:rPr>
                <w:rFonts w:hint="eastAsia"/>
              </w:rPr>
              <w:t>（クロスマージン対象国債先物清算約定に係る権利義務関係の消滅）</w:t>
            </w:r>
          </w:p>
        </w:tc>
      </w:tr>
      <w:tr w:rsidR="00311ADA" w:rsidRPr="00D26742" w14:paraId="03B073C2" w14:textId="77777777" w:rsidTr="00462704">
        <w:trPr>
          <w:jc w:val="center"/>
        </w:trPr>
        <w:tc>
          <w:tcPr>
            <w:tcW w:w="4670" w:type="dxa"/>
            <w:tcBorders>
              <w:top w:val="nil"/>
              <w:left w:val="single" w:sz="4" w:space="0" w:color="auto"/>
              <w:bottom w:val="nil"/>
              <w:right w:val="single" w:sz="4" w:space="0" w:color="auto"/>
            </w:tcBorders>
          </w:tcPr>
          <w:p w14:paraId="7777C478" w14:textId="552AD423" w:rsidR="00311ADA" w:rsidRPr="00D26742" w:rsidRDefault="00311ADA" w:rsidP="0005002C">
            <w:pPr>
              <w:ind w:leftChars="50" w:left="315" w:hangingChars="100" w:hanging="210"/>
            </w:pPr>
            <w:r w:rsidRPr="008B58EC">
              <w:rPr>
                <w:rFonts w:hint="eastAsia"/>
              </w:rPr>
              <w:t>第１１条の２　私がクロスマージン利用者である場合において、私のクロスマージン対象国債先物清算約定に係る国債証券先物取引の委託</w:t>
            </w:r>
            <w:r w:rsidRPr="008B58EC">
              <w:rPr>
                <w:rFonts w:hint="eastAsia"/>
                <w:u w:val="single"/>
              </w:rPr>
              <w:t>及びクロスマージン対象金利先物清算約定に係る金利先物取引の委託</w:t>
            </w:r>
            <w:r w:rsidRPr="008B58EC">
              <w:rPr>
                <w:rFonts w:hint="eastAsia"/>
              </w:rPr>
              <w:t>に係る権利義務関係は、クリアリング機構の業務方法書が定める場合に当該業務方法書の定める範囲で、将来に向かって消滅することに異議のないこと。</w:t>
            </w:r>
          </w:p>
        </w:tc>
        <w:tc>
          <w:tcPr>
            <w:tcW w:w="4670" w:type="dxa"/>
            <w:tcBorders>
              <w:top w:val="nil"/>
              <w:left w:val="single" w:sz="4" w:space="0" w:color="auto"/>
              <w:bottom w:val="nil"/>
              <w:right w:val="single" w:sz="4" w:space="0" w:color="auto"/>
            </w:tcBorders>
          </w:tcPr>
          <w:p w14:paraId="48B93198" w14:textId="67192FBC" w:rsidR="00311ADA" w:rsidRPr="00D26742" w:rsidRDefault="00311ADA" w:rsidP="0005002C">
            <w:pPr>
              <w:ind w:leftChars="50" w:left="315" w:hangingChars="100" w:hanging="210"/>
            </w:pPr>
            <w:r w:rsidRPr="008B58EC">
              <w:rPr>
                <w:rFonts w:hint="eastAsia"/>
              </w:rPr>
              <w:t>第１１条の２　私がクロスマージン利用者である場合において、私のクロスマージン対象国債先物清算約定に係る国債証券先物取引の委託に係る権利義務関係は、クリアリング機構の業務方法書が定める場合に当該業務方法書の定める範囲で、将来に向かって消滅することに異議のないこと。</w:t>
            </w:r>
          </w:p>
        </w:tc>
      </w:tr>
      <w:tr w:rsidR="00311ADA" w:rsidRPr="00D26742" w14:paraId="239FE94E" w14:textId="77777777" w:rsidTr="00462704">
        <w:trPr>
          <w:jc w:val="center"/>
        </w:trPr>
        <w:tc>
          <w:tcPr>
            <w:tcW w:w="4670" w:type="dxa"/>
            <w:tcBorders>
              <w:top w:val="nil"/>
              <w:left w:val="single" w:sz="4" w:space="0" w:color="auto"/>
              <w:bottom w:val="nil"/>
              <w:right w:val="single" w:sz="4" w:space="0" w:color="auto"/>
            </w:tcBorders>
            <w:hideMark/>
          </w:tcPr>
          <w:p w14:paraId="23557D4B" w14:textId="4C492426" w:rsidR="00311ADA" w:rsidRPr="00D26742" w:rsidRDefault="00311ADA" w:rsidP="00311ADA">
            <w:pPr>
              <w:ind w:leftChars="150" w:left="538" w:hanging="223"/>
            </w:pPr>
          </w:p>
        </w:tc>
        <w:tc>
          <w:tcPr>
            <w:tcW w:w="4670" w:type="dxa"/>
            <w:tcBorders>
              <w:top w:val="nil"/>
              <w:left w:val="single" w:sz="4" w:space="0" w:color="auto"/>
              <w:bottom w:val="nil"/>
              <w:right w:val="single" w:sz="4" w:space="0" w:color="auto"/>
            </w:tcBorders>
            <w:hideMark/>
          </w:tcPr>
          <w:p w14:paraId="21B47958" w14:textId="2CFCB261" w:rsidR="00311ADA" w:rsidRPr="00D26742" w:rsidRDefault="00311ADA" w:rsidP="00311ADA">
            <w:pPr>
              <w:ind w:leftChars="150" w:left="538" w:hanging="223"/>
            </w:pPr>
          </w:p>
        </w:tc>
      </w:tr>
      <w:tr w:rsidR="00311ADA" w:rsidRPr="00D26742" w14:paraId="0D6E0374" w14:textId="77777777" w:rsidTr="00CC71C5">
        <w:trPr>
          <w:jc w:val="center"/>
        </w:trPr>
        <w:tc>
          <w:tcPr>
            <w:tcW w:w="4670" w:type="dxa"/>
            <w:tcBorders>
              <w:top w:val="nil"/>
              <w:left w:val="single" w:sz="4" w:space="0" w:color="auto"/>
              <w:bottom w:val="nil"/>
              <w:right w:val="single" w:sz="4" w:space="0" w:color="auto"/>
            </w:tcBorders>
            <w:hideMark/>
          </w:tcPr>
          <w:p w14:paraId="48C621FD" w14:textId="2FE91F17" w:rsidR="00311ADA" w:rsidRPr="00D26742" w:rsidRDefault="00311ADA" w:rsidP="0005002C">
            <w:pPr>
              <w:ind w:leftChars="150" w:left="525" w:hangingChars="100" w:hanging="210"/>
            </w:pPr>
            <w:r w:rsidRPr="008B58EC">
              <w:rPr>
                <w:rFonts w:hint="eastAsia"/>
              </w:rPr>
              <w:t>（期限の利益を喪失した場合等における先物・オプション取引の転売又は買戻し等）</w:t>
            </w:r>
          </w:p>
        </w:tc>
        <w:tc>
          <w:tcPr>
            <w:tcW w:w="4670" w:type="dxa"/>
            <w:tcBorders>
              <w:top w:val="nil"/>
              <w:left w:val="single" w:sz="4" w:space="0" w:color="auto"/>
              <w:bottom w:val="nil"/>
              <w:right w:val="single" w:sz="4" w:space="0" w:color="auto"/>
            </w:tcBorders>
            <w:vAlign w:val="center"/>
            <w:hideMark/>
          </w:tcPr>
          <w:p w14:paraId="7412B9C7" w14:textId="37033986" w:rsidR="00311ADA" w:rsidRPr="00D26742" w:rsidRDefault="00311ADA" w:rsidP="0005002C">
            <w:pPr>
              <w:ind w:leftChars="150" w:left="525" w:hangingChars="100" w:hanging="210"/>
            </w:pPr>
            <w:r w:rsidRPr="008B58EC">
              <w:rPr>
                <w:rFonts w:hint="eastAsia"/>
              </w:rPr>
              <w:t>（期限の利益を喪失した場合等における先物・オプション取引の転売又は買戻し等）</w:t>
            </w:r>
          </w:p>
        </w:tc>
      </w:tr>
      <w:tr w:rsidR="00311ADA" w:rsidRPr="00D26742" w14:paraId="6D091805" w14:textId="77777777" w:rsidTr="00CC71C5">
        <w:trPr>
          <w:jc w:val="center"/>
        </w:trPr>
        <w:tc>
          <w:tcPr>
            <w:tcW w:w="4670" w:type="dxa"/>
            <w:tcBorders>
              <w:top w:val="nil"/>
              <w:left w:val="single" w:sz="4" w:space="0" w:color="auto"/>
              <w:bottom w:val="nil"/>
              <w:right w:val="single" w:sz="4" w:space="0" w:color="auto"/>
            </w:tcBorders>
            <w:vAlign w:val="center"/>
            <w:hideMark/>
          </w:tcPr>
          <w:p w14:paraId="50872BDE" w14:textId="747DA62C" w:rsidR="00311ADA" w:rsidRPr="00D26742" w:rsidRDefault="00311ADA" w:rsidP="00311ADA">
            <w:pPr>
              <w:ind w:leftChars="50" w:left="315" w:hangingChars="100" w:hanging="210"/>
            </w:pPr>
            <w:r w:rsidRPr="008B58EC">
              <w:rPr>
                <w:rFonts w:hint="eastAsia"/>
              </w:rPr>
              <w:t>第１２条　私が第１１条第１項各号のいずれかに該当したときは、私が貴　に設定した先</w:t>
            </w:r>
            <w:r w:rsidRPr="008B58EC">
              <w:rPr>
                <w:rFonts w:hint="eastAsia"/>
              </w:rPr>
              <w:lastRenderedPageBreak/>
              <w:t>物・オプション取引口座を通じて処理されるすべての先物・オプション取引（クロスマージン対象国債先物清算約定</w:t>
            </w:r>
            <w:r w:rsidRPr="00DE35CE">
              <w:rPr>
                <w:rFonts w:hint="eastAsia"/>
                <w:u w:val="single"/>
              </w:rPr>
              <w:t>及び</w:t>
            </w:r>
            <w:r w:rsidRPr="008B58EC">
              <w:rPr>
                <w:rFonts w:hint="eastAsia"/>
                <w:u w:val="single"/>
              </w:rPr>
              <w:t>クロスマージン対象金利先物清算約定</w:t>
            </w:r>
            <w:r w:rsidRPr="008B58EC">
              <w:rPr>
                <w:rFonts w:hint="eastAsia"/>
              </w:rPr>
              <w:t>に係るものを除く。）につき、それを決済するために必要な転売若しくは買戻し、売付契約若しくは買付契約、最終決済、権利行使又は権利行使により成立する有価証券の売付け若しくは買付けに係る契約（これらの委託を含む。以下「転売又は買戻し等」という。）を、私の計算において貴　が任意に行うことに異議のないこと。</w:t>
            </w:r>
          </w:p>
        </w:tc>
        <w:tc>
          <w:tcPr>
            <w:tcW w:w="4670" w:type="dxa"/>
            <w:tcBorders>
              <w:top w:val="nil"/>
              <w:left w:val="single" w:sz="4" w:space="0" w:color="auto"/>
              <w:bottom w:val="nil"/>
              <w:right w:val="single" w:sz="4" w:space="0" w:color="auto"/>
            </w:tcBorders>
            <w:hideMark/>
          </w:tcPr>
          <w:p w14:paraId="6CAABC5C" w14:textId="6E1A0FA1" w:rsidR="00311ADA" w:rsidRPr="00D26742" w:rsidRDefault="00311ADA" w:rsidP="00311ADA">
            <w:pPr>
              <w:ind w:leftChars="50" w:left="315" w:hangingChars="100" w:hanging="210"/>
            </w:pPr>
            <w:r w:rsidRPr="008B58EC">
              <w:rPr>
                <w:rFonts w:hint="eastAsia"/>
              </w:rPr>
              <w:lastRenderedPageBreak/>
              <w:t>第１２条　私が第１１条第１項各号のいずれかに該当したときは、私が貴　に設定した先</w:t>
            </w:r>
            <w:r w:rsidRPr="008B58EC">
              <w:rPr>
                <w:rFonts w:hint="eastAsia"/>
              </w:rPr>
              <w:lastRenderedPageBreak/>
              <w:t>物・オプション取引口座を通じて処理されるすべての先物・オプション取引（クロスマージン対象国債先物清算約定に係るものを除く。）につき、それを決済するために必要な転売若しくは買戻し、売付契約若しくは買付契約、最終決済、権利行使又は権利行使により成立する有価証券の売付け若しくは買付けに係る契約（これらの委託を含む。以下「転売又は買戻し等」という。）を、私の計算において貴　が任意に行うことに異議のないこと。</w:t>
            </w:r>
          </w:p>
        </w:tc>
      </w:tr>
      <w:tr w:rsidR="00311ADA" w:rsidRPr="00D26742" w14:paraId="3AF2F7FA" w14:textId="77777777" w:rsidTr="00CC71C5">
        <w:trPr>
          <w:jc w:val="center"/>
        </w:trPr>
        <w:tc>
          <w:tcPr>
            <w:tcW w:w="4670" w:type="dxa"/>
            <w:tcBorders>
              <w:top w:val="nil"/>
              <w:left w:val="single" w:sz="4" w:space="0" w:color="auto"/>
              <w:bottom w:val="nil"/>
              <w:right w:val="single" w:sz="4" w:space="0" w:color="auto"/>
            </w:tcBorders>
            <w:vAlign w:val="center"/>
            <w:hideMark/>
          </w:tcPr>
          <w:p w14:paraId="10EB68BD" w14:textId="5A3D6703" w:rsidR="00311ADA" w:rsidRPr="00D26742" w:rsidRDefault="00311ADA" w:rsidP="00311ADA">
            <w:pPr>
              <w:ind w:leftChars="50" w:left="315" w:hangingChars="100" w:hanging="210"/>
            </w:pPr>
            <w:r w:rsidRPr="008B58EC">
              <w:rPr>
                <w:rFonts w:hint="eastAsia"/>
              </w:rPr>
              <w:lastRenderedPageBreak/>
              <w:t>２～５　（略）</w:t>
            </w:r>
          </w:p>
        </w:tc>
        <w:tc>
          <w:tcPr>
            <w:tcW w:w="4670" w:type="dxa"/>
            <w:tcBorders>
              <w:top w:val="nil"/>
              <w:left w:val="single" w:sz="4" w:space="0" w:color="auto"/>
              <w:bottom w:val="nil"/>
              <w:right w:val="single" w:sz="4" w:space="0" w:color="auto"/>
            </w:tcBorders>
            <w:hideMark/>
          </w:tcPr>
          <w:p w14:paraId="321DC3F2" w14:textId="7003FD56" w:rsidR="00311ADA" w:rsidRPr="00D26742" w:rsidRDefault="00311ADA" w:rsidP="00311ADA">
            <w:pPr>
              <w:ind w:leftChars="50" w:left="315" w:hangingChars="100" w:hanging="210"/>
            </w:pPr>
            <w:r w:rsidRPr="008B58EC">
              <w:rPr>
                <w:rFonts w:hint="eastAsia"/>
              </w:rPr>
              <w:t>２～５　（略）</w:t>
            </w:r>
          </w:p>
        </w:tc>
      </w:tr>
      <w:tr w:rsidR="00311ADA" w:rsidRPr="00D26742" w14:paraId="21074417" w14:textId="77777777" w:rsidTr="00CC71C5">
        <w:trPr>
          <w:jc w:val="center"/>
        </w:trPr>
        <w:tc>
          <w:tcPr>
            <w:tcW w:w="4670" w:type="dxa"/>
            <w:tcBorders>
              <w:top w:val="nil"/>
              <w:left w:val="single" w:sz="4" w:space="0" w:color="auto"/>
              <w:bottom w:val="nil"/>
              <w:right w:val="single" w:sz="4" w:space="0" w:color="auto"/>
            </w:tcBorders>
            <w:vAlign w:val="center"/>
            <w:hideMark/>
          </w:tcPr>
          <w:p w14:paraId="161FFC3A" w14:textId="73F6C520" w:rsidR="00311ADA" w:rsidRPr="00D26742" w:rsidRDefault="00311ADA" w:rsidP="00311ADA">
            <w:pPr>
              <w:ind w:leftChars="50" w:left="315" w:hangingChars="100" w:hanging="210"/>
            </w:pPr>
            <w:r w:rsidRPr="008B58EC">
              <w:rPr>
                <w:rFonts w:hint="eastAsia"/>
              </w:rPr>
              <w:t>６　第１項の規定にかかわらず、私がクロスマージン利用者である場合で、クリアリング機構の業務方法書の定めにより私のクロスマージン対象国債先物清算約定に係る国債証券先物取引</w:t>
            </w:r>
            <w:r>
              <w:rPr>
                <w:rFonts w:hint="eastAsia"/>
              </w:rPr>
              <w:t>の委託</w:t>
            </w:r>
            <w:r w:rsidRPr="008B58EC">
              <w:rPr>
                <w:rFonts w:hint="eastAsia"/>
                <w:u w:val="single"/>
              </w:rPr>
              <w:t>及びクロスマージン対象金利先物清算約定に係る金利先物取引</w:t>
            </w:r>
            <w:r w:rsidRPr="00DE35CE">
              <w:rPr>
                <w:rFonts w:hint="eastAsia"/>
                <w:u w:val="single"/>
              </w:rPr>
              <w:t>の委託</w:t>
            </w:r>
            <w:r w:rsidRPr="008B58EC">
              <w:rPr>
                <w:rFonts w:hint="eastAsia"/>
              </w:rPr>
              <w:t>に係る権利義務関係が消滅するときには、当該清算約定に係る国債証券先物取引</w:t>
            </w:r>
            <w:r w:rsidRPr="008B58EC">
              <w:rPr>
                <w:rFonts w:hint="eastAsia"/>
                <w:u w:val="single"/>
              </w:rPr>
              <w:t>及び金利先物取引</w:t>
            </w:r>
            <w:r w:rsidRPr="008B58EC">
              <w:rPr>
                <w:rFonts w:hint="eastAsia"/>
              </w:rPr>
              <w:t>の整理について、クリアリング機構の業務方法書に定めるところに従うこと。</w:t>
            </w:r>
          </w:p>
        </w:tc>
        <w:tc>
          <w:tcPr>
            <w:tcW w:w="4670" w:type="dxa"/>
            <w:tcBorders>
              <w:top w:val="nil"/>
              <w:left w:val="single" w:sz="4" w:space="0" w:color="auto"/>
              <w:bottom w:val="nil"/>
              <w:right w:val="single" w:sz="4" w:space="0" w:color="auto"/>
            </w:tcBorders>
            <w:hideMark/>
          </w:tcPr>
          <w:p w14:paraId="641BFEB5" w14:textId="4D139609" w:rsidR="00311ADA" w:rsidRPr="00D26742" w:rsidRDefault="00311ADA" w:rsidP="00311ADA">
            <w:pPr>
              <w:ind w:leftChars="50" w:left="315" w:hangingChars="100" w:hanging="210"/>
            </w:pPr>
            <w:r w:rsidRPr="008B58EC">
              <w:rPr>
                <w:rFonts w:hint="eastAsia"/>
              </w:rPr>
              <w:t>６　第１項の規定にかかわらず、私がクロスマージン利用者である場合で、クリアリング機構の業務方法書の定めにより私のクロスマージン対象国債先物清算約定に係る国債証券先物取引の委託に係る権利義務関係が消滅するときには、当該清算約定に係る国債証券先物取引の整理について、クリアリング機構の業務方法書に定めるところに従うこと。</w:t>
            </w:r>
          </w:p>
        </w:tc>
      </w:tr>
      <w:tr w:rsidR="00311ADA" w:rsidRPr="00D26742" w14:paraId="752B05BB" w14:textId="77777777" w:rsidTr="00462704">
        <w:trPr>
          <w:jc w:val="center"/>
        </w:trPr>
        <w:tc>
          <w:tcPr>
            <w:tcW w:w="4670" w:type="dxa"/>
            <w:tcBorders>
              <w:top w:val="nil"/>
              <w:left w:val="single" w:sz="4" w:space="0" w:color="auto"/>
              <w:bottom w:val="nil"/>
              <w:right w:val="single" w:sz="4" w:space="0" w:color="auto"/>
            </w:tcBorders>
            <w:hideMark/>
          </w:tcPr>
          <w:p w14:paraId="2ECBF422" w14:textId="036FA63F" w:rsidR="00311ADA" w:rsidRPr="00D26742" w:rsidRDefault="00311ADA" w:rsidP="00311ADA">
            <w:pPr>
              <w:ind w:leftChars="50" w:left="315" w:hangingChars="100" w:hanging="210"/>
            </w:pPr>
          </w:p>
        </w:tc>
        <w:tc>
          <w:tcPr>
            <w:tcW w:w="4670" w:type="dxa"/>
            <w:tcBorders>
              <w:top w:val="nil"/>
              <w:left w:val="single" w:sz="4" w:space="0" w:color="auto"/>
              <w:bottom w:val="nil"/>
              <w:right w:val="single" w:sz="4" w:space="0" w:color="auto"/>
            </w:tcBorders>
            <w:hideMark/>
          </w:tcPr>
          <w:p w14:paraId="616184A8" w14:textId="6D498398" w:rsidR="00311ADA" w:rsidRPr="00D26742" w:rsidRDefault="00311ADA" w:rsidP="00311ADA">
            <w:pPr>
              <w:ind w:leftChars="50" w:left="315" w:hangingChars="100" w:hanging="210"/>
            </w:pPr>
          </w:p>
        </w:tc>
      </w:tr>
      <w:tr w:rsidR="00311ADA" w:rsidRPr="00D26742" w14:paraId="4C0BA73A" w14:textId="77777777" w:rsidTr="00462704">
        <w:trPr>
          <w:jc w:val="center"/>
        </w:trPr>
        <w:tc>
          <w:tcPr>
            <w:tcW w:w="4670" w:type="dxa"/>
            <w:tcBorders>
              <w:top w:val="nil"/>
              <w:left w:val="single" w:sz="4" w:space="0" w:color="auto"/>
              <w:bottom w:val="nil"/>
              <w:right w:val="single" w:sz="4" w:space="0" w:color="auto"/>
            </w:tcBorders>
          </w:tcPr>
          <w:p w14:paraId="0E87DBEF" w14:textId="77777777" w:rsidR="00311ADA" w:rsidRPr="00D26742" w:rsidRDefault="00311ADA" w:rsidP="00311ADA">
            <w:pPr>
              <w:rPr>
                <w:u w:val="single"/>
              </w:rPr>
            </w:pPr>
          </w:p>
        </w:tc>
        <w:tc>
          <w:tcPr>
            <w:tcW w:w="4670" w:type="dxa"/>
            <w:tcBorders>
              <w:top w:val="nil"/>
              <w:left w:val="single" w:sz="4" w:space="0" w:color="auto"/>
              <w:bottom w:val="nil"/>
              <w:right w:val="single" w:sz="4" w:space="0" w:color="auto"/>
            </w:tcBorders>
          </w:tcPr>
          <w:p w14:paraId="0D0D2330" w14:textId="77777777" w:rsidR="00311ADA" w:rsidRPr="00D26742" w:rsidRDefault="00311ADA" w:rsidP="00311ADA">
            <w:pPr>
              <w:rPr>
                <w:u w:val="single"/>
              </w:rPr>
            </w:pPr>
          </w:p>
        </w:tc>
      </w:tr>
      <w:tr w:rsidR="00311ADA" w:rsidRPr="00D26742" w14:paraId="501765CA" w14:textId="77777777" w:rsidTr="00CC71C5">
        <w:trPr>
          <w:jc w:val="center"/>
        </w:trPr>
        <w:tc>
          <w:tcPr>
            <w:tcW w:w="4670" w:type="dxa"/>
            <w:tcBorders>
              <w:top w:val="nil"/>
              <w:left w:val="single" w:sz="4" w:space="0" w:color="auto"/>
              <w:bottom w:val="nil"/>
              <w:right w:val="single" w:sz="4" w:space="0" w:color="auto"/>
            </w:tcBorders>
          </w:tcPr>
          <w:p w14:paraId="761B3E26" w14:textId="384A4DB6" w:rsidR="00311ADA" w:rsidRPr="00D26742" w:rsidRDefault="00311ADA" w:rsidP="006E6DF5">
            <w:pPr>
              <w:jc w:val="center"/>
            </w:pPr>
            <w:r w:rsidRPr="008B58EC">
              <w:rPr>
                <w:rFonts w:hint="eastAsia"/>
              </w:rPr>
              <w:t>付　　則</w:t>
            </w:r>
          </w:p>
        </w:tc>
        <w:tc>
          <w:tcPr>
            <w:tcW w:w="4670" w:type="dxa"/>
            <w:tcBorders>
              <w:top w:val="nil"/>
              <w:left w:val="single" w:sz="4" w:space="0" w:color="auto"/>
              <w:bottom w:val="nil"/>
              <w:right w:val="single" w:sz="4" w:space="0" w:color="auto"/>
            </w:tcBorders>
            <w:vAlign w:val="center"/>
          </w:tcPr>
          <w:p w14:paraId="0E2C2F18" w14:textId="77777777" w:rsidR="00311ADA" w:rsidRPr="00D26742" w:rsidRDefault="00311ADA" w:rsidP="00311ADA"/>
        </w:tc>
      </w:tr>
      <w:tr w:rsidR="00311ADA" w:rsidRPr="00D26742" w14:paraId="1972B96C" w14:textId="77777777" w:rsidTr="00CC71C5">
        <w:trPr>
          <w:jc w:val="center"/>
        </w:trPr>
        <w:tc>
          <w:tcPr>
            <w:tcW w:w="4670" w:type="dxa"/>
            <w:tcBorders>
              <w:top w:val="nil"/>
              <w:left w:val="single" w:sz="4" w:space="0" w:color="auto"/>
              <w:bottom w:val="nil"/>
              <w:right w:val="single" w:sz="4" w:space="0" w:color="auto"/>
            </w:tcBorders>
            <w:hideMark/>
          </w:tcPr>
          <w:p w14:paraId="2CA8C775" w14:textId="6F2C2E0D" w:rsidR="00311ADA" w:rsidRPr="00C17883" w:rsidRDefault="00311ADA" w:rsidP="006E6DF5">
            <w:pPr>
              <w:ind w:leftChars="50" w:left="315" w:hangingChars="100" w:hanging="210"/>
              <w:jc w:val="left"/>
            </w:pPr>
            <w:r w:rsidRPr="00C17883">
              <w:rPr>
                <w:rFonts w:hint="eastAsia"/>
              </w:rPr>
              <w:t xml:space="preserve">１　</w:t>
            </w:r>
            <w:r w:rsidRPr="00C17883">
              <w:t>この改正規定は、</w:t>
            </w:r>
            <w:r w:rsidRPr="00C17883">
              <w:rPr>
                <w:rStyle w:val="af7"/>
                <w:u w:val="none"/>
              </w:rPr>
              <w:t>令和</w:t>
            </w:r>
            <w:r w:rsidRPr="00C17883">
              <w:rPr>
                <w:rStyle w:val="af7"/>
                <w:rFonts w:hint="eastAsia"/>
                <w:u w:val="none"/>
              </w:rPr>
              <w:t>６</w:t>
            </w:r>
            <w:r w:rsidRPr="00C17883">
              <w:rPr>
                <w:rStyle w:val="af7"/>
                <w:u w:val="none"/>
              </w:rPr>
              <w:t>年</w:t>
            </w:r>
            <w:r w:rsidRPr="00C17883">
              <w:rPr>
                <w:rStyle w:val="af7"/>
                <w:rFonts w:hint="eastAsia"/>
                <w:u w:val="none"/>
              </w:rPr>
              <w:t>３</w:t>
            </w:r>
            <w:r w:rsidRPr="00C17883">
              <w:rPr>
                <w:rStyle w:val="af7"/>
                <w:u w:val="none"/>
              </w:rPr>
              <w:t>月</w:t>
            </w:r>
            <w:r w:rsidRPr="00C17883">
              <w:rPr>
                <w:rStyle w:val="af7"/>
                <w:rFonts w:hint="eastAsia"/>
                <w:u w:val="none"/>
              </w:rPr>
              <w:t>４</w:t>
            </w:r>
            <w:r w:rsidRPr="00C17883">
              <w:rPr>
                <w:rStyle w:val="af7"/>
                <w:u w:val="none"/>
              </w:rPr>
              <w:t>日</w:t>
            </w:r>
            <w:r w:rsidRPr="00C17883">
              <w:rPr>
                <w:rFonts w:hint="eastAsia"/>
              </w:rPr>
              <w:t>から施行する。</w:t>
            </w:r>
          </w:p>
        </w:tc>
        <w:tc>
          <w:tcPr>
            <w:tcW w:w="4670" w:type="dxa"/>
            <w:tcBorders>
              <w:top w:val="nil"/>
              <w:left w:val="single" w:sz="4" w:space="0" w:color="auto"/>
              <w:bottom w:val="nil"/>
              <w:right w:val="single" w:sz="4" w:space="0" w:color="auto"/>
            </w:tcBorders>
            <w:vAlign w:val="center"/>
          </w:tcPr>
          <w:p w14:paraId="61F89B82" w14:textId="77777777" w:rsidR="00311ADA" w:rsidRPr="00D26742" w:rsidRDefault="00311ADA" w:rsidP="00311ADA"/>
        </w:tc>
      </w:tr>
      <w:tr w:rsidR="00311ADA" w:rsidRPr="00D26742" w14:paraId="0A9EDBD2" w14:textId="77777777" w:rsidTr="00CC71C5">
        <w:trPr>
          <w:jc w:val="center"/>
        </w:trPr>
        <w:tc>
          <w:tcPr>
            <w:tcW w:w="4670" w:type="dxa"/>
            <w:tcBorders>
              <w:top w:val="nil"/>
              <w:left w:val="single" w:sz="4" w:space="0" w:color="auto"/>
              <w:bottom w:val="nil"/>
              <w:right w:val="single" w:sz="4" w:space="0" w:color="auto"/>
            </w:tcBorders>
            <w:hideMark/>
          </w:tcPr>
          <w:p w14:paraId="760ACE0F" w14:textId="5E6D3DA8" w:rsidR="00311ADA" w:rsidRPr="00C17883" w:rsidRDefault="00311ADA" w:rsidP="00311ADA">
            <w:pPr>
              <w:ind w:leftChars="50" w:left="315" w:hangingChars="100" w:hanging="210"/>
            </w:pPr>
            <w:r w:rsidRPr="00C17883">
              <w:rPr>
                <w:rFonts w:hint="eastAsia"/>
              </w:rPr>
              <w:t xml:space="preserve">２　</w:t>
            </w:r>
            <w:r w:rsidRPr="00C17883">
              <w:t>前項の規定にかかわらず、この改正規定</w:t>
            </w:r>
            <w:r w:rsidRPr="00C17883">
              <w:rPr>
                <w:rFonts w:hint="eastAsia"/>
              </w:rPr>
              <w:t>は、売買システムの稼働に支障が生じた場合その他やむを得ない事由により、</w:t>
            </w:r>
            <w:r w:rsidRPr="00C17883">
              <w:rPr>
                <w:rStyle w:val="af7"/>
                <w:rFonts w:hint="eastAsia"/>
                <w:u w:val="none"/>
              </w:rPr>
              <w:t>令和６年３月４日</w:t>
            </w:r>
            <w:r w:rsidRPr="00C17883">
              <w:rPr>
                <w:rFonts w:hint="eastAsia"/>
              </w:rPr>
              <w:t>から施行することが適当でないと本所が認める場合には、同日後の本所が定める日から施行する。</w:t>
            </w:r>
          </w:p>
        </w:tc>
        <w:tc>
          <w:tcPr>
            <w:tcW w:w="4670" w:type="dxa"/>
            <w:tcBorders>
              <w:top w:val="nil"/>
              <w:left w:val="single" w:sz="4" w:space="0" w:color="auto"/>
              <w:bottom w:val="nil"/>
              <w:right w:val="single" w:sz="4" w:space="0" w:color="auto"/>
            </w:tcBorders>
            <w:vAlign w:val="center"/>
          </w:tcPr>
          <w:p w14:paraId="179001B9" w14:textId="77777777" w:rsidR="00311ADA" w:rsidRPr="00D26742" w:rsidRDefault="00311ADA" w:rsidP="00311ADA"/>
        </w:tc>
      </w:tr>
      <w:tr w:rsidR="00C42E7D" w:rsidRPr="00D26742" w14:paraId="2638B517" w14:textId="77777777" w:rsidTr="00462704">
        <w:trPr>
          <w:jc w:val="center"/>
        </w:trPr>
        <w:tc>
          <w:tcPr>
            <w:tcW w:w="4670" w:type="dxa"/>
            <w:tcBorders>
              <w:top w:val="nil"/>
              <w:left w:val="single" w:sz="4" w:space="0" w:color="auto"/>
              <w:bottom w:val="single" w:sz="4" w:space="0" w:color="auto"/>
              <w:right w:val="single" w:sz="4" w:space="0" w:color="auto"/>
            </w:tcBorders>
          </w:tcPr>
          <w:p w14:paraId="0B63B0F4" w14:textId="77777777" w:rsidR="00C42E7D" w:rsidRPr="00D26742" w:rsidRDefault="00C42E7D" w:rsidP="00462704">
            <w:pPr>
              <w:ind w:leftChars="150" w:left="538" w:hanging="223"/>
            </w:pPr>
          </w:p>
        </w:tc>
        <w:tc>
          <w:tcPr>
            <w:tcW w:w="4670" w:type="dxa"/>
            <w:tcBorders>
              <w:top w:val="nil"/>
              <w:left w:val="single" w:sz="4" w:space="0" w:color="auto"/>
              <w:bottom w:val="single" w:sz="4" w:space="0" w:color="auto"/>
              <w:right w:val="single" w:sz="4" w:space="0" w:color="auto"/>
            </w:tcBorders>
          </w:tcPr>
          <w:p w14:paraId="0A8833D2" w14:textId="77777777" w:rsidR="00C42E7D" w:rsidRPr="00D26742" w:rsidRDefault="00C42E7D" w:rsidP="00462704">
            <w:pPr>
              <w:ind w:leftChars="150" w:left="538" w:hanging="223"/>
            </w:pPr>
          </w:p>
        </w:tc>
      </w:tr>
    </w:tbl>
    <w:p w14:paraId="2C6B6EAC" w14:textId="4EBB8FB7" w:rsidR="0078185E" w:rsidRPr="0078185E" w:rsidRDefault="0078185E" w:rsidP="0078185E">
      <w:pPr>
        <w:jc w:val="right"/>
        <w:rPr>
          <w:sz w:val="24"/>
        </w:rPr>
      </w:pPr>
      <w:r>
        <w:rPr>
          <w:rFonts w:hint="eastAsia"/>
          <w:sz w:val="24"/>
        </w:rPr>
        <w:t>以　上</w:t>
      </w:r>
    </w:p>
    <w:sectPr w:rsidR="0078185E" w:rsidRPr="0078185E" w:rsidSect="003769F6">
      <w:headerReference w:type="firs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DE6B" w14:textId="77777777" w:rsidR="00A77D33" w:rsidRDefault="00A77D33" w:rsidP="00037D1B">
      <w:r>
        <w:separator/>
      </w:r>
    </w:p>
  </w:endnote>
  <w:endnote w:type="continuationSeparator" w:id="0">
    <w:p w14:paraId="543BC74A" w14:textId="77777777" w:rsidR="00A77D33" w:rsidRDefault="00A77D33" w:rsidP="0003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7F66" w14:textId="77777777" w:rsidR="00A77D33" w:rsidRDefault="00A77D33" w:rsidP="00037D1B">
      <w:r>
        <w:separator/>
      </w:r>
    </w:p>
  </w:footnote>
  <w:footnote w:type="continuationSeparator" w:id="0">
    <w:p w14:paraId="0E514881" w14:textId="77777777" w:rsidR="00A77D33" w:rsidRDefault="00A77D33" w:rsidP="0003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EB65" w14:textId="77777777" w:rsidR="00A77D33" w:rsidRPr="00037D1B" w:rsidRDefault="00A77D33" w:rsidP="00037D1B">
    <w:pPr>
      <w:pStyle w:val="a3"/>
      <w:jc w:val="right"/>
      <w:rPr>
        <w:rFonts w:asciiTheme="majorEastAsia" w:eastAsiaTheme="majorEastAsia" w:hAnsiTheme="majorEastAsia"/>
        <w:sz w:val="28"/>
        <w:szCs w:val="28"/>
      </w:rPr>
    </w:pPr>
    <w:r w:rsidRPr="00037D1B">
      <w:rPr>
        <w:rFonts w:asciiTheme="majorEastAsia" w:eastAsiaTheme="majorEastAsia" w:hAnsiTheme="majorEastAsia" w:hint="eastAsia"/>
        <w:sz w:val="28"/>
        <w:szCs w:val="28"/>
      </w:rPr>
      <w:t>参　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0CC"/>
    <w:rsid w:val="0000272A"/>
    <w:rsid w:val="00003089"/>
    <w:rsid w:val="00004AD9"/>
    <w:rsid w:val="00014C7D"/>
    <w:rsid w:val="00020AE4"/>
    <w:rsid w:val="00023C53"/>
    <w:rsid w:val="00037D1B"/>
    <w:rsid w:val="00042DB7"/>
    <w:rsid w:val="0005002C"/>
    <w:rsid w:val="00061490"/>
    <w:rsid w:val="00074E04"/>
    <w:rsid w:val="00083F1B"/>
    <w:rsid w:val="00090830"/>
    <w:rsid w:val="00090EE7"/>
    <w:rsid w:val="00093BF9"/>
    <w:rsid w:val="000A05D9"/>
    <w:rsid w:val="000A0944"/>
    <w:rsid w:val="000A4A6F"/>
    <w:rsid w:val="000B12D4"/>
    <w:rsid w:val="000C3BE4"/>
    <w:rsid w:val="000E7607"/>
    <w:rsid w:val="000F25B4"/>
    <w:rsid w:val="00102A3A"/>
    <w:rsid w:val="00114184"/>
    <w:rsid w:val="00114FD4"/>
    <w:rsid w:val="0012296B"/>
    <w:rsid w:val="001264A8"/>
    <w:rsid w:val="00130D17"/>
    <w:rsid w:val="0013340C"/>
    <w:rsid w:val="00140497"/>
    <w:rsid w:val="00165368"/>
    <w:rsid w:val="00170997"/>
    <w:rsid w:val="00183598"/>
    <w:rsid w:val="00190DD7"/>
    <w:rsid w:val="001916E5"/>
    <w:rsid w:val="00193FFC"/>
    <w:rsid w:val="001A6B1C"/>
    <w:rsid w:val="001B3EB9"/>
    <w:rsid w:val="001B44B1"/>
    <w:rsid w:val="001B44F9"/>
    <w:rsid w:val="001B5A6D"/>
    <w:rsid w:val="001C49AF"/>
    <w:rsid w:val="001D7E9D"/>
    <w:rsid w:val="001E1AFC"/>
    <w:rsid w:val="001E6E05"/>
    <w:rsid w:val="001F586B"/>
    <w:rsid w:val="001F72A7"/>
    <w:rsid w:val="00201151"/>
    <w:rsid w:val="002023BB"/>
    <w:rsid w:val="00204495"/>
    <w:rsid w:val="00206534"/>
    <w:rsid w:val="00211066"/>
    <w:rsid w:val="00214F18"/>
    <w:rsid w:val="00242C5B"/>
    <w:rsid w:val="002640AD"/>
    <w:rsid w:val="002653D9"/>
    <w:rsid w:val="00265DCF"/>
    <w:rsid w:val="00266B4C"/>
    <w:rsid w:val="00267C3E"/>
    <w:rsid w:val="00276B9F"/>
    <w:rsid w:val="0028011B"/>
    <w:rsid w:val="002A274D"/>
    <w:rsid w:val="002A3CC7"/>
    <w:rsid w:val="002B768D"/>
    <w:rsid w:val="002C180D"/>
    <w:rsid w:val="002D2683"/>
    <w:rsid w:val="002E14C0"/>
    <w:rsid w:val="002E2FF9"/>
    <w:rsid w:val="002E53E4"/>
    <w:rsid w:val="002E63AD"/>
    <w:rsid w:val="002F4CF1"/>
    <w:rsid w:val="00301C62"/>
    <w:rsid w:val="00311ADA"/>
    <w:rsid w:val="00311B35"/>
    <w:rsid w:val="00365EFE"/>
    <w:rsid w:val="00372C9C"/>
    <w:rsid w:val="00373483"/>
    <w:rsid w:val="00375A82"/>
    <w:rsid w:val="003769F6"/>
    <w:rsid w:val="00380D3C"/>
    <w:rsid w:val="003861F7"/>
    <w:rsid w:val="003A087C"/>
    <w:rsid w:val="003A15C5"/>
    <w:rsid w:val="003D5E07"/>
    <w:rsid w:val="003E6FF7"/>
    <w:rsid w:val="003F2750"/>
    <w:rsid w:val="003F5196"/>
    <w:rsid w:val="0041304F"/>
    <w:rsid w:val="00425B28"/>
    <w:rsid w:val="00435C8A"/>
    <w:rsid w:val="0044602A"/>
    <w:rsid w:val="0045040D"/>
    <w:rsid w:val="00452710"/>
    <w:rsid w:val="00457E8E"/>
    <w:rsid w:val="00481B3E"/>
    <w:rsid w:val="004832EB"/>
    <w:rsid w:val="004876ED"/>
    <w:rsid w:val="004877F7"/>
    <w:rsid w:val="0048784E"/>
    <w:rsid w:val="00494B85"/>
    <w:rsid w:val="00494D4B"/>
    <w:rsid w:val="004A0B5E"/>
    <w:rsid w:val="004A5A4B"/>
    <w:rsid w:val="004B0269"/>
    <w:rsid w:val="004B0C90"/>
    <w:rsid w:val="004B4750"/>
    <w:rsid w:val="004C3B92"/>
    <w:rsid w:val="004D0EE9"/>
    <w:rsid w:val="004D4F59"/>
    <w:rsid w:val="004E1EA8"/>
    <w:rsid w:val="004E6125"/>
    <w:rsid w:val="005031E4"/>
    <w:rsid w:val="00512116"/>
    <w:rsid w:val="005137C7"/>
    <w:rsid w:val="005150F8"/>
    <w:rsid w:val="0052390B"/>
    <w:rsid w:val="00524A37"/>
    <w:rsid w:val="00524E5C"/>
    <w:rsid w:val="005424DA"/>
    <w:rsid w:val="00543951"/>
    <w:rsid w:val="00546271"/>
    <w:rsid w:val="005542A5"/>
    <w:rsid w:val="0055651D"/>
    <w:rsid w:val="005618CE"/>
    <w:rsid w:val="00573ED3"/>
    <w:rsid w:val="00574A2B"/>
    <w:rsid w:val="00585A42"/>
    <w:rsid w:val="005A1A79"/>
    <w:rsid w:val="005A4BBB"/>
    <w:rsid w:val="005A613A"/>
    <w:rsid w:val="005B0599"/>
    <w:rsid w:val="005C17C6"/>
    <w:rsid w:val="005C7B27"/>
    <w:rsid w:val="005D1850"/>
    <w:rsid w:val="005D5DFE"/>
    <w:rsid w:val="005E636B"/>
    <w:rsid w:val="005F4CCD"/>
    <w:rsid w:val="00600767"/>
    <w:rsid w:val="006056CA"/>
    <w:rsid w:val="0061447C"/>
    <w:rsid w:val="00617F25"/>
    <w:rsid w:val="00632D39"/>
    <w:rsid w:val="00640887"/>
    <w:rsid w:val="0064164C"/>
    <w:rsid w:val="006561F8"/>
    <w:rsid w:val="00661034"/>
    <w:rsid w:val="0066365B"/>
    <w:rsid w:val="00666550"/>
    <w:rsid w:val="0067769F"/>
    <w:rsid w:val="00680E76"/>
    <w:rsid w:val="0068141C"/>
    <w:rsid w:val="006A02A1"/>
    <w:rsid w:val="006A523C"/>
    <w:rsid w:val="006B4AD9"/>
    <w:rsid w:val="006C3206"/>
    <w:rsid w:val="006C582B"/>
    <w:rsid w:val="006C603B"/>
    <w:rsid w:val="006C78EF"/>
    <w:rsid w:val="006D1F03"/>
    <w:rsid w:val="006D2C95"/>
    <w:rsid w:val="006E6CAC"/>
    <w:rsid w:val="006E6DF5"/>
    <w:rsid w:val="006F43E9"/>
    <w:rsid w:val="00705436"/>
    <w:rsid w:val="007101ED"/>
    <w:rsid w:val="00711678"/>
    <w:rsid w:val="007402D0"/>
    <w:rsid w:val="007410AA"/>
    <w:rsid w:val="00747294"/>
    <w:rsid w:val="007528D1"/>
    <w:rsid w:val="0075507A"/>
    <w:rsid w:val="00760F01"/>
    <w:rsid w:val="00776232"/>
    <w:rsid w:val="0078185E"/>
    <w:rsid w:val="007877DC"/>
    <w:rsid w:val="00790261"/>
    <w:rsid w:val="00793782"/>
    <w:rsid w:val="007A4949"/>
    <w:rsid w:val="007B11B3"/>
    <w:rsid w:val="007B1CF2"/>
    <w:rsid w:val="007B6E25"/>
    <w:rsid w:val="007C2AEB"/>
    <w:rsid w:val="007C5A6F"/>
    <w:rsid w:val="007D1695"/>
    <w:rsid w:val="007D5505"/>
    <w:rsid w:val="007D57BF"/>
    <w:rsid w:val="007D5876"/>
    <w:rsid w:val="007E2B88"/>
    <w:rsid w:val="007E2BE7"/>
    <w:rsid w:val="007E3661"/>
    <w:rsid w:val="007E4BB3"/>
    <w:rsid w:val="007E59CC"/>
    <w:rsid w:val="00805AAB"/>
    <w:rsid w:val="00805C9E"/>
    <w:rsid w:val="008140E1"/>
    <w:rsid w:val="0081653B"/>
    <w:rsid w:val="00823463"/>
    <w:rsid w:val="00830205"/>
    <w:rsid w:val="00836442"/>
    <w:rsid w:val="00843543"/>
    <w:rsid w:val="00843767"/>
    <w:rsid w:val="00852D43"/>
    <w:rsid w:val="00853890"/>
    <w:rsid w:val="00853AB0"/>
    <w:rsid w:val="008749EF"/>
    <w:rsid w:val="0087776B"/>
    <w:rsid w:val="00886112"/>
    <w:rsid w:val="00887075"/>
    <w:rsid w:val="008A4AD9"/>
    <w:rsid w:val="008B1B91"/>
    <w:rsid w:val="008B2DD2"/>
    <w:rsid w:val="008B37CF"/>
    <w:rsid w:val="008C0707"/>
    <w:rsid w:val="008D28DE"/>
    <w:rsid w:val="008E5A61"/>
    <w:rsid w:val="009144A3"/>
    <w:rsid w:val="00915541"/>
    <w:rsid w:val="00934806"/>
    <w:rsid w:val="0093495E"/>
    <w:rsid w:val="00943386"/>
    <w:rsid w:val="0094647E"/>
    <w:rsid w:val="00952A85"/>
    <w:rsid w:val="0096579E"/>
    <w:rsid w:val="00965E59"/>
    <w:rsid w:val="009D4639"/>
    <w:rsid w:val="009E48DE"/>
    <w:rsid w:val="009E4BEC"/>
    <w:rsid w:val="00A165A2"/>
    <w:rsid w:val="00A251A5"/>
    <w:rsid w:val="00A31C10"/>
    <w:rsid w:val="00A46742"/>
    <w:rsid w:val="00A47D56"/>
    <w:rsid w:val="00A51C03"/>
    <w:rsid w:val="00A55648"/>
    <w:rsid w:val="00A56B02"/>
    <w:rsid w:val="00A57626"/>
    <w:rsid w:val="00A62BC9"/>
    <w:rsid w:val="00A7706E"/>
    <w:rsid w:val="00A77AFC"/>
    <w:rsid w:val="00A77D33"/>
    <w:rsid w:val="00A930DD"/>
    <w:rsid w:val="00A95137"/>
    <w:rsid w:val="00AB0BDF"/>
    <w:rsid w:val="00AC64E9"/>
    <w:rsid w:val="00AD26AC"/>
    <w:rsid w:val="00AD3224"/>
    <w:rsid w:val="00AE27E2"/>
    <w:rsid w:val="00AE3803"/>
    <w:rsid w:val="00AF2C47"/>
    <w:rsid w:val="00AF69A9"/>
    <w:rsid w:val="00B168C1"/>
    <w:rsid w:val="00B20A84"/>
    <w:rsid w:val="00B20AB1"/>
    <w:rsid w:val="00B34AA2"/>
    <w:rsid w:val="00B363F0"/>
    <w:rsid w:val="00B36B53"/>
    <w:rsid w:val="00B414E4"/>
    <w:rsid w:val="00B44738"/>
    <w:rsid w:val="00B75902"/>
    <w:rsid w:val="00B77C26"/>
    <w:rsid w:val="00B82DD2"/>
    <w:rsid w:val="00BA3A53"/>
    <w:rsid w:val="00BB0BAD"/>
    <w:rsid w:val="00BB1EB1"/>
    <w:rsid w:val="00BC23A2"/>
    <w:rsid w:val="00BC5029"/>
    <w:rsid w:val="00BC6891"/>
    <w:rsid w:val="00C00446"/>
    <w:rsid w:val="00C01BEA"/>
    <w:rsid w:val="00C05B7E"/>
    <w:rsid w:val="00C10321"/>
    <w:rsid w:val="00C12EDB"/>
    <w:rsid w:val="00C14C1F"/>
    <w:rsid w:val="00C17883"/>
    <w:rsid w:val="00C247DA"/>
    <w:rsid w:val="00C42E7D"/>
    <w:rsid w:val="00C50F25"/>
    <w:rsid w:val="00C522BF"/>
    <w:rsid w:val="00C54ECF"/>
    <w:rsid w:val="00C577BF"/>
    <w:rsid w:val="00C66B1F"/>
    <w:rsid w:val="00C67598"/>
    <w:rsid w:val="00C7319C"/>
    <w:rsid w:val="00C82684"/>
    <w:rsid w:val="00CA0E73"/>
    <w:rsid w:val="00CA0F41"/>
    <w:rsid w:val="00CB2E7E"/>
    <w:rsid w:val="00CB737F"/>
    <w:rsid w:val="00CC153F"/>
    <w:rsid w:val="00CE2E9D"/>
    <w:rsid w:val="00CE3FBF"/>
    <w:rsid w:val="00D30080"/>
    <w:rsid w:val="00D31C9D"/>
    <w:rsid w:val="00D3719C"/>
    <w:rsid w:val="00D52317"/>
    <w:rsid w:val="00D55488"/>
    <w:rsid w:val="00D72C0E"/>
    <w:rsid w:val="00D81677"/>
    <w:rsid w:val="00D91905"/>
    <w:rsid w:val="00D93BAD"/>
    <w:rsid w:val="00D95BCA"/>
    <w:rsid w:val="00DA032D"/>
    <w:rsid w:val="00DA34FE"/>
    <w:rsid w:val="00DA3586"/>
    <w:rsid w:val="00DA5777"/>
    <w:rsid w:val="00DA60CC"/>
    <w:rsid w:val="00DB00B6"/>
    <w:rsid w:val="00DB43DD"/>
    <w:rsid w:val="00DB764B"/>
    <w:rsid w:val="00DC0958"/>
    <w:rsid w:val="00DD0485"/>
    <w:rsid w:val="00DD0554"/>
    <w:rsid w:val="00DE4945"/>
    <w:rsid w:val="00DF727C"/>
    <w:rsid w:val="00E46937"/>
    <w:rsid w:val="00E51AE2"/>
    <w:rsid w:val="00EA7698"/>
    <w:rsid w:val="00EB5EAF"/>
    <w:rsid w:val="00EB7CDE"/>
    <w:rsid w:val="00EC46F8"/>
    <w:rsid w:val="00EE0F97"/>
    <w:rsid w:val="00EE5B93"/>
    <w:rsid w:val="00EF6B62"/>
    <w:rsid w:val="00F10E11"/>
    <w:rsid w:val="00F158FF"/>
    <w:rsid w:val="00F16788"/>
    <w:rsid w:val="00F16EBD"/>
    <w:rsid w:val="00F308EE"/>
    <w:rsid w:val="00F33EED"/>
    <w:rsid w:val="00F44EA8"/>
    <w:rsid w:val="00F46EC1"/>
    <w:rsid w:val="00F6694C"/>
    <w:rsid w:val="00F7235E"/>
    <w:rsid w:val="00F72667"/>
    <w:rsid w:val="00F81B80"/>
    <w:rsid w:val="00F83356"/>
    <w:rsid w:val="00F90DC1"/>
    <w:rsid w:val="00FA6694"/>
    <w:rsid w:val="00FB5B36"/>
    <w:rsid w:val="00FC158F"/>
    <w:rsid w:val="00FC7D9C"/>
    <w:rsid w:val="00FD02FF"/>
    <w:rsid w:val="00FE1899"/>
    <w:rsid w:val="00FE2517"/>
    <w:rsid w:val="00FF6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94F60CB"/>
  <w15:docId w15:val="{AD959E51-91AD-43B5-A41B-1A89A865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D1B"/>
    <w:pPr>
      <w:tabs>
        <w:tab w:val="center" w:pos="4252"/>
        <w:tab w:val="right" w:pos="8504"/>
      </w:tabs>
      <w:snapToGrid w:val="0"/>
    </w:pPr>
  </w:style>
  <w:style w:type="character" w:customStyle="1" w:styleId="a4">
    <w:name w:val="ヘッダー (文字)"/>
    <w:basedOn w:val="a0"/>
    <w:link w:val="a3"/>
    <w:uiPriority w:val="99"/>
    <w:rsid w:val="00037D1B"/>
  </w:style>
  <w:style w:type="paragraph" w:styleId="a5">
    <w:name w:val="footer"/>
    <w:basedOn w:val="a"/>
    <w:link w:val="a6"/>
    <w:uiPriority w:val="99"/>
    <w:unhideWhenUsed/>
    <w:rsid w:val="00037D1B"/>
    <w:pPr>
      <w:tabs>
        <w:tab w:val="center" w:pos="4252"/>
        <w:tab w:val="right" w:pos="8504"/>
      </w:tabs>
      <w:snapToGrid w:val="0"/>
    </w:pPr>
  </w:style>
  <w:style w:type="character" w:customStyle="1" w:styleId="a6">
    <w:name w:val="フッター (文字)"/>
    <w:basedOn w:val="a0"/>
    <w:link w:val="a5"/>
    <w:uiPriority w:val="99"/>
    <w:rsid w:val="00037D1B"/>
  </w:style>
  <w:style w:type="paragraph" w:styleId="2">
    <w:name w:val="Body Text Indent 2"/>
    <w:basedOn w:val="a"/>
    <w:link w:val="20"/>
    <w:rsid w:val="0078185E"/>
    <w:pPr>
      <w:autoSpaceDN w:val="0"/>
      <w:adjustRightInd w:val="0"/>
      <w:spacing w:line="360" w:lineRule="exact"/>
      <w:ind w:left="216" w:hanging="216"/>
      <w:textAlignment w:val="baseline"/>
    </w:pPr>
    <w:rPr>
      <w:rFonts w:ascii="Century" w:eastAsia="ＭＳ 明朝" w:hAnsi="Century" w:cs="Times New Roman"/>
      <w:kern w:val="0"/>
      <w:szCs w:val="20"/>
      <w:u w:val="words"/>
    </w:rPr>
  </w:style>
  <w:style w:type="character" w:customStyle="1" w:styleId="20">
    <w:name w:val="本文インデント 2 (文字)"/>
    <w:basedOn w:val="a0"/>
    <w:link w:val="2"/>
    <w:rsid w:val="0078185E"/>
    <w:rPr>
      <w:rFonts w:ascii="Century" w:eastAsia="ＭＳ 明朝" w:hAnsi="Century" w:cs="Times New Roman"/>
      <w:kern w:val="0"/>
      <w:szCs w:val="20"/>
      <w:u w:val="words"/>
    </w:rPr>
  </w:style>
  <w:style w:type="character" w:styleId="a7">
    <w:name w:val="annotation reference"/>
    <w:basedOn w:val="a0"/>
    <w:uiPriority w:val="99"/>
    <w:rsid w:val="0078185E"/>
    <w:rPr>
      <w:sz w:val="18"/>
      <w:szCs w:val="18"/>
    </w:rPr>
  </w:style>
  <w:style w:type="paragraph" w:styleId="a8">
    <w:name w:val="Balloon Text"/>
    <w:basedOn w:val="a"/>
    <w:link w:val="a9"/>
    <w:uiPriority w:val="99"/>
    <w:semiHidden/>
    <w:unhideWhenUsed/>
    <w:rsid w:val="006B4A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AD9"/>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B36B53"/>
    <w:pPr>
      <w:jc w:val="left"/>
    </w:pPr>
  </w:style>
  <w:style w:type="character" w:customStyle="1" w:styleId="ab">
    <w:name w:val="コメント文字列 (文字)"/>
    <w:basedOn w:val="a0"/>
    <w:link w:val="aa"/>
    <w:uiPriority w:val="99"/>
    <w:semiHidden/>
    <w:rsid w:val="00B36B53"/>
  </w:style>
  <w:style w:type="paragraph" w:styleId="ac">
    <w:name w:val="annotation subject"/>
    <w:basedOn w:val="aa"/>
    <w:next w:val="aa"/>
    <w:link w:val="ad"/>
    <w:uiPriority w:val="99"/>
    <w:semiHidden/>
    <w:unhideWhenUsed/>
    <w:rsid w:val="00B36B53"/>
    <w:rPr>
      <w:b/>
      <w:bCs/>
    </w:rPr>
  </w:style>
  <w:style w:type="character" w:customStyle="1" w:styleId="ad">
    <w:name w:val="コメント内容 (文字)"/>
    <w:basedOn w:val="ab"/>
    <w:link w:val="ac"/>
    <w:uiPriority w:val="99"/>
    <w:semiHidden/>
    <w:rsid w:val="00B36B53"/>
    <w:rPr>
      <w:b/>
      <w:bCs/>
    </w:rPr>
  </w:style>
  <w:style w:type="paragraph" w:styleId="ae">
    <w:name w:val="Note Heading"/>
    <w:basedOn w:val="a"/>
    <w:next w:val="a"/>
    <w:link w:val="af"/>
    <w:uiPriority w:val="99"/>
    <w:unhideWhenUsed/>
    <w:rsid w:val="00F72667"/>
    <w:pPr>
      <w:jc w:val="center"/>
    </w:pPr>
    <w:rPr>
      <w:sz w:val="24"/>
    </w:rPr>
  </w:style>
  <w:style w:type="character" w:customStyle="1" w:styleId="af">
    <w:name w:val="記 (文字)"/>
    <w:basedOn w:val="a0"/>
    <w:link w:val="ae"/>
    <w:uiPriority w:val="99"/>
    <w:rsid w:val="00F72667"/>
    <w:rPr>
      <w:sz w:val="24"/>
    </w:rPr>
  </w:style>
  <w:style w:type="paragraph" w:styleId="af0">
    <w:name w:val="Closing"/>
    <w:basedOn w:val="a"/>
    <w:link w:val="af1"/>
    <w:uiPriority w:val="99"/>
    <w:unhideWhenUsed/>
    <w:rsid w:val="00F72667"/>
    <w:pPr>
      <w:jc w:val="right"/>
    </w:pPr>
    <w:rPr>
      <w:sz w:val="24"/>
    </w:rPr>
  </w:style>
  <w:style w:type="character" w:customStyle="1" w:styleId="af1">
    <w:name w:val="結語 (文字)"/>
    <w:basedOn w:val="a0"/>
    <w:link w:val="af0"/>
    <w:uiPriority w:val="99"/>
    <w:rsid w:val="00F72667"/>
    <w:rPr>
      <w:sz w:val="24"/>
    </w:rPr>
  </w:style>
  <w:style w:type="paragraph" w:customStyle="1" w:styleId="af2">
    <w:name w:val="項ブロックスタイル_項建て単項以外"/>
    <w:basedOn w:val="a"/>
    <w:rsid w:val="00F72667"/>
    <w:pPr>
      <w:widowControl/>
      <w:ind w:leftChars="50" w:left="50" w:hangingChars="100" w:hanging="100"/>
      <w:jc w:val="left"/>
    </w:pPr>
    <w:rPr>
      <w:rFonts w:ascii="ＭＳ 明朝" w:eastAsia="ＭＳ 明朝" w:hAnsi="ＭＳ 明朝" w:cs="ＭＳ 明朝"/>
      <w:kern w:val="0"/>
      <w:szCs w:val="21"/>
    </w:rPr>
  </w:style>
  <w:style w:type="paragraph" w:customStyle="1" w:styleId="af3">
    <w:name w:val="号ブロックスタイル"/>
    <w:basedOn w:val="a"/>
    <w:rsid w:val="00F72667"/>
    <w:pPr>
      <w:widowControl/>
      <w:ind w:leftChars="150" w:left="150" w:hangingChars="100" w:hanging="100"/>
      <w:jc w:val="left"/>
    </w:pPr>
    <w:rPr>
      <w:rFonts w:ascii="ＭＳ 明朝" w:eastAsia="ＭＳ 明朝" w:hAnsi="ＭＳ 明朝" w:cs="ＭＳ 明朝"/>
      <w:kern w:val="0"/>
      <w:szCs w:val="21"/>
    </w:rPr>
  </w:style>
  <w:style w:type="paragraph" w:customStyle="1" w:styleId="1">
    <w:name w:val="細分ブロックスタイル_1段目"/>
    <w:basedOn w:val="a"/>
    <w:rsid w:val="00F72667"/>
    <w:pPr>
      <w:widowControl/>
      <w:ind w:leftChars="250" w:left="250" w:hangingChars="100" w:hanging="100"/>
      <w:jc w:val="left"/>
    </w:pPr>
    <w:rPr>
      <w:rFonts w:ascii="ＭＳ 明朝" w:eastAsia="ＭＳ 明朝" w:hAnsi="ＭＳ 明朝" w:cs="ＭＳ 明朝"/>
      <w:kern w:val="0"/>
      <w:szCs w:val="21"/>
    </w:rPr>
  </w:style>
  <w:style w:type="paragraph" w:customStyle="1" w:styleId="af4">
    <w:name w:val="見出しブロックスタイル"/>
    <w:basedOn w:val="a"/>
    <w:rsid w:val="00F72667"/>
    <w:pPr>
      <w:widowControl/>
      <w:ind w:leftChars="150" w:left="150"/>
      <w:jc w:val="left"/>
    </w:pPr>
    <w:rPr>
      <w:rFonts w:ascii="ＭＳ 明朝" w:eastAsia="ＭＳ 明朝" w:hAnsi="ＭＳ 明朝" w:cs="ＭＳ 明朝"/>
      <w:kern w:val="0"/>
      <w:szCs w:val="21"/>
    </w:rPr>
  </w:style>
  <w:style w:type="table" w:styleId="af5">
    <w:name w:val="Table Grid"/>
    <w:basedOn w:val="a1"/>
    <w:uiPriority w:val="59"/>
    <w:rsid w:val="00F72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093BF9"/>
  </w:style>
  <w:style w:type="character" w:customStyle="1" w:styleId="af7">
    <w:name w:val="下線表示スタイル"/>
    <w:basedOn w:val="a0"/>
    <w:rsid w:val="00311ADA"/>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FF76-41F7-42EC-9803-9C427B4D555C}">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Standar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6</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Nakajima, Moriyoshi (中島 盛喜)</cp:lastModifiedBy>
  <cp:revision>16</cp:revision>
  <cp:lastPrinted>2015-06-25T01:01:00Z</cp:lastPrinted>
  <dcterms:created xsi:type="dcterms:W3CDTF">2020-04-27T07:32:00Z</dcterms:created>
  <dcterms:modified xsi:type="dcterms:W3CDTF">2024-01-24T10:09:00Z</dcterms:modified>
</cp:coreProperties>
</file>